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E6575" w14:textId="24933B8F" w:rsidR="008C4644" w:rsidRPr="00341812" w:rsidRDefault="008C4644" w:rsidP="008C4644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Pr="003F08B2">
        <w:rPr>
          <w:rFonts w:eastAsia="Times New Roman"/>
          <w:b/>
          <w:sz w:val="24"/>
        </w:rPr>
        <w:t>#1</w:t>
      </w:r>
      <w:r>
        <w:rPr>
          <w:rFonts w:eastAsia="Times New Roman"/>
          <w:b/>
          <w:sz w:val="24"/>
        </w:rPr>
        <w:t>18-e</w:t>
      </w:r>
      <w:r w:rsidRPr="00341812">
        <w:rPr>
          <w:rFonts w:eastAsia="Times New Roman"/>
          <w:b/>
          <w:sz w:val="24"/>
        </w:rPr>
        <w:tab/>
      </w:r>
      <w:r w:rsidRPr="006A64C8">
        <w:rPr>
          <w:rFonts w:eastAsia="Times New Roman"/>
          <w:b/>
          <w:sz w:val="24"/>
        </w:rPr>
        <w:t>R2-2</w:t>
      </w:r>
      <w:r>
        <w:rPr>
          <w:rFonts w:eastAsia="Times New Roman"/>
          <w:b/>
          <w:sz w:val="24"/>
        </w:rPr>
        <w:t>2</w:t>
      </w:r>
      <w:r w:rsidR="00EF32BD">
        <w:rPr>
          <w:rFonts w:eastAsia="Times New Roman"/>
          <w:b/>
          <w:sz w:val="24"/>
        </w:rPr>
        <w:t>06033</w:t>
      </w:r>
    </w:p>
    <w:p w14:paraId="0997416D" w14:textId="77777777" w:rsidR="008C4644" w:rsidRPr="00341812" w:rsidRDefault="008C4644" w:rsidP="008C4644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Pr="00032B71">
        <w:rPr>
          <w:b/>
          <w:sz w:val="24"/>
        </w:rPr>
        <w:t xml:space="preserve">, </w:t>
      </w:r>
      <w:r>
        <w:rPr>
          <w:b/>
          <w:sz w:val="24"/>
        </w:rPr>
        <w:t xml:space="preserve">May 10~19, </w:t>
      </w:r>
      <w:r w:rsidRPr="00032B71">
        <w:rPr>
          <w:b/>
          <w:sz w:val="24"/>
        </w:rPr>
        <w:t>202</w:t>
      </w:r>
      <w:r>
        <w:rPr>
          <w:b/>
          <w:sz w:val="24"/>
        </w:rPr>
        <w:t>2</w:t>
      </w:r>
      <w:r w:rsidRPr="00341812">
        <w:rPr>
          <w:b/>
          <w:sz w:val="24"/>
        </w:rPr>
        <w:tab/>
      </w:r>
    </w:p>
    <w:p w14:paraId="0AB5B942" w14:textId="77777777" w:rsidR="008C4644" w:rsidRPr="00341812" w:rsidRDefault="008C4644" w:rsidP="008C4644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890D777" w14:textId="79EFD078" w:rsidR="008C4644" w:rsidRPr="00341812" w:rsidRDefault="008C4644" w:rsidP="008C4644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F11704">
        <w:rPr>
          <w:rFonts w:eastAsia="MS Mincho" w:cs="Arial"/>
          <w:b/>
          <w:sz w:val="24"/>
        </w:rPr>
        <w:t>6</w:t>
      </w:r>
      <w:r>
        <w:rPr>
          <w:rFonts w:eastAsia="MS Mincho" w:cs="Arial"/>
          <w:b/>
          <w:sz w:val="24"/>
        </w:rPr>
        <w:t>.12.2</w:t>
      </w:r>
      <w:r w:rsidR="0067257C">
        <w:rPr>
          <w:rFonts w:eastAsia="MS Mincho" w:cs="Arial"/>
          <w:b/>
          <w:sz w:val="24"/>
        </w:rPr>
        <w:t>.</w:t>
      </w:r>
      <w:r w:rsidR="00EF32BD">
        <w:rPr>
          <w:rFonts w:eastAsia="MS Mincho" w:cs="Arial"/>
          <w:b/>
          <w:sz w:val="24"/>
        </w:rPr>
        <w:t>2.</w:t>
      </w:r>
      <w:r w:rsidR="0067257C">
        <w:rPr>
          <w:rFonts w:eastAsia="MS Mincho" w:cs="Arial"/>
          <w:b/>
          <w:sz w:val="24"/>
        </w:rPr>
        <w:t>1</w:t>
      </w:r>
    </w:p>
    <w:p w14:paraId="67A6DCCD" w14:textId="77777777" w:rsidR="008C4644" w:rsidRPr="00341812" w:rsidRDefault="008C4644" w:rsidP="008C4644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383F56">
        <w:rPr>
          <w:rFonts w:eastAsia="Times New Roman" w:cs="Arial"/>
          <w:b/>
          <w:sz w:val="24"/>
          <w:lang w:eastAsia="en-US"/>
        </w:rPr>
        <w:t>Qualcomm Inc</w:t>
      </w:r>
      <w:r>
        <w:rPr>
          <w:rFonts w:eastAsia="Times New Roman" w:cs="Arial"/>
          <w:b/>
          <w:sz w:val="24"/>
          <w:lang w:eastAsia="en-US"/>
        </w:rPr>
        <w:t>orporated</w:t>
      </w:r>
    </w:p>
    <w:p w14:paraId="077185F5" w14:textId="6E87600A" w:rsidR="008C4644" w:rsidRPr="00341812" w:rsidRDefault="008C4644" w:rsidP="008C4644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>
        <w:rPr>
          <w:rFonts w:eastAsia="Times New Roman" w:cs="Arial"/>
          <w:b/>
          <w:sz w:val="24"/>
          <w:lang w:eastAsia="en-US"/>
        </w:rPr>
        <w:t xml:space="preserve">Measurement object configuration </w:t>
      </w:r>
      <w:r w:rsidR="001C02D1">
        <w:rPr>
          <w:rFonts w:eastAsia="Times New Roman" w:cs="Arial"/>
          <w:b/>
          <w:sz w:val="24"/>
          <w:lang w:eastAsia="en-US"/>
        </w:rPr>
        <w:t>with NCD-SSB</w:t>
      </w:r>
    </w:p>
    <w:p w14:paraId="292CC78B" w14:textId="77777777" w:rsidR="008C4644" w:rsidRPr="00341812" w:rsidRDefault="008C4644" w:rsidP="008C4644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D45DAB">
        <w:rPr>
          <w:rFonts w:eastAsia="Times New Roman" w:cs="Arial"/>
          <w:b/>
          <w:sz w:val="24"/>
          <w:lang w:eastAsia="en-US"/>
        </w:rPr>
        <w:t>NR_redcap-Core</w:t>
      </w:r>
    </w:p>
    <w:p w14:paraId="35EFFA89" w14:textId="77777777" w:rsidR="008C4644" w:rsidRPr="00341812" w:rsidRDefault="008C4644" w:rsidP="008C4644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526B27D8" w:rsidR="00476667" w:rsidRPr="00783198" w:rsidRDefault="008C4644" w:rsidP="008C464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27556B76" w14:textId="570D874A" w:rsidR="008656C2" w:rsidRPr="00F00E08" w:rsidRDefault="00163EBA" w:rsidP="00F11704">
      <w:pPr>
        <w:spacing w:after="120"/>
        <w:rPr>
          <w:rFonts w:eastAsiaTheme="minorEastAsia"/>
        </w:rPr>
      </w:pPr>
      <w:r w:rsidRPr="00163EBA">
        <w:t>In RAN2</w:t>
      </w:r>
      <w:r w:rsidR="008656C2">
        <w:t>#117-e, RAN2 made the following agreements:</w:t>
      </w:r>
    </w:p>
    <w:p w14:paraId="4CFDAD85" w14:textId="77777777" w:rsidR="00942F45" w:rsidRPr="00942F45" w:rsidRDefault="00942F45" w:rsidP="00F00E08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left="720" w:right="368" w:hanging="270"/>
        <w:rPr>
          <w:rFonts w:eastAsia="MS Mincho"/>
          <w:szCs w:val="24"/>
          <w:lang w:val="en-GB" w:eastAsia="en-GB"/>
        </w:rPr>
      </w:pPr>
      <w:r w:rsidRPr="00942F45">
        <w:rPr>
          <w:rFonts w:eastAsia="MS Mincho"/>
          <w:szCs w:val="24"/>
          <w:lang w:val="en-GB" w:eastAsia="en-GB"/>
        </w:rPr>
        <w:t>RAN2 confirms that it is up to network implementation, but it is expected that the network configures a MO on the NCD-SSB frequency if it wants the UE to use it only for serving cell measurements when some neighbor cells do not send an SSB on UE’s NCD-SSB frequency.</w:t>
      </w:r>
    </w:p>
    <w:p w14:paraId="3AF6B22A" w14:textId="77777777" w:rsidR="00942F45" w:rsidRPr="00942F45" w:rsidRDefault="00942F45" w:rsidP="00F00E08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left="720" w:right="368" w:hanging="270"/>
        <w:rPr>
          <w:rFonts w:eastAsia="MS Mincho"/>
          <w:szCs w:val="24"/>
          <w:lang w:val="en-GB" w:eastAsia="en-GB"/>
        </w:rPr>
      </w:pPr>
      <w:r w:rsidRPr="00942F45">
        <w:rPr>
          <w:rFonts w:eastAsia="MS Mincho"/>
          <w:szCs w:val="24"/>
          <w:lang w:val="en-GB" w:eastAsia="en-GB"/>
        </w:rPr>
        <w:t>For neighbour cell measurements, it is up to network to configure MO on CD-SSB or NCD-SSB or both (same in legacy, no spec impact)</w:t>
      </w:r>
    </w:p>
    <w:p w14:paraId="2013975C" w14:textId="374F8472" w:rsidR="003F08B2" w:rsidRPr="00495A15" w:rsidRDefault="00140CBD" w:rsidP="00FB7BB2">
      <w:pPr>
        <w:ind w:left="0" w:firstLine="0"/>
        <w:rPr>
          <w:rFonts w:eastAsiaTheme="minorEastAsia"/>
        </w:rPr>
      </w:pPr>
      <w:r>
        <w:t xml:space="preserve">In this paper, we further discuss </w:t>
      </w:r>
      <w:r w:rsidR="00495A15">
        <w:t xml:space="preserve">how to configure measurement objects (MO) for RedCap UEs to perform RRM measurements </w:t>
      </w:r>
      <w:r w:rsidR="00B73E4E">
        <w:t xml:space="preserve">properly and </w:t>
      </w:r>
      <w:r w:rsidR="00495A15">
        <w:t>efficiently</w:t>
      </w:r>
      <w:r w:rsidR="00FB7BB2">
        <w:t>, especially when NCD-SSB is used.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55339839" w14:textId="77777777" w:rsidR="001C330F" w:rsidRDefault="001C330F" w:rsidP="001C330F">
      <w:pPr>
        <w:pStyle w:val="0Maintext"/>
        <w:tabs>
          <w:tab w:val="left" w:pos="0"/>
        </w:tabs>
        <w:spacing w:after="120" w:afterAutospacing="0" w:line="240" w:lineRule="auto"/>
        <w:ind w:left="0" w:firstLine="0"/>
        <w:jc w:val="left"/>
      </w:pPr>
      <w:r>
        <w:t>In the stage-2 spec (38.300), intra- and inter-frequency measurements are defined as follows: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8640"/>
      </w:tblGrid>
      <w:tr w:rsidR="001C330F" w14:paraId="45685079" w14:textId="77777777" w:rsidTr="00F829A6">
        <w:tc>
          <w:tcPr>
            <w:tcW w:w="8640" w:type="dxa"/>
          </w:tcPr>
          <w:p w14:paraId="3763B08E" w14:textId="77777777" w:rsidR="001C330F" w:rsidRPr="004D788B" w:rsidRDefault="001C330F" w:rsidP="00F829A6">
            <w:pPr>
              <w:autoSpaceDE w:val="0"/>
              <w:autoSpaceDN w:val="0"/>
              <w:spacing w:before="60"/>
              <w:ind w:left="0" w:firstLine="0"/>
              <w:rPr>
                <w:rFonts w:ascii="Yu Gothic" w:eastAsia="Yu Gothic" w:hAnsi="Yu Gothic" w:cs="Calibri"/>
                <w:sz w:val="21"/>
                <w:szCs w:val="21"/>
                <w:lang w:eastAsia="ja-JP"/>
              </w:rPr>
            </w:pPr>
            <w:r w:rsidRPr="004D788B">
              <w:rPr>
                <w:rFonts w:ascii="Times New Roman" w:eastAsia="Yu Gothic" w:hAnsi="Times New Roman"/>
                <w:szCs w:val="20"/>
                <w:lang w:val="en-GB" w:eastAsia="ja-JP"/>
              </w:rPr>
              <w:t>Intra-frequency neighbour (cell) measurements and inter-frequency neighbour (cell) measurements are defined as follows:</w:t>
            </w:r>
          </w:p>
          <w:p w14:paraId="0678F601" w14:textId="77777777" w:rsidR="001C330F" w:rsidRPr="004D788B" w:rsidRDefault="001C330F" w:rsidP="00F829A6">
            <w:pPr>
              <w:autoSpaceDE w:val="0"/>
              <w:autoSpaceDN w:val="0"/>
              <w:spacing w:before="60" w:after="60"/>
              <w:ind w:left="432" w:hanging="187"/>
              <w:rPr>
                <w:rFonts w:ascii="Yu Gothic" w:eastAsia="Yu Gothic" w:hAnsi="Yu Gothic" w:cs="Calibri"/>
                <w:sz w:val="21"/>
                <w:szCs w:val="21"/>
                <w:lang w:eastAsia="ja-JP"/>
              </w:rPr>
            </w:pPr>
            <w:r w:rsidRPr="004D788B">
              <w:rPr>
                <w:rFonts w:ascii="Times New Roman" w:eastAsia="Yu Gothic" w:hAnsi="Times New Roman"/>
                <w:szCs w:val="20"/>
                <w:lang w:eastAsia="ja-JP"/>
              </w:rPr>
              <w:t xml:space="preserve">-   SSB based intra-frequency measurement: a measurement is defined as an SSB based intra-frequency measurement provided the </w:t>
            </w:r>
            <w:r w:rsidRPr="004D788B">
              <w:rPr>
                <w:rFonts w:ascii="Times New Roman" w:eastAsia="Yu Gothic" w:hAnsi="Times New Roman"/>
                <w:color w:val="000000"/>
                <w:szCs w:val="20"/>
                <w:shd w:val="clear" w:color="auto" w:fill="FF00FF"/>
                <w:lang w:eastAsia="ja-JP"/>
              </w:rPr>
              <w:t>center frequency of the SSB of the serving cell</w:t>
            </w:r>
            <w:r w:rsidRPr="004D788B">
              <w:rPr>
                <w:rFonts w:ascii="Times New Roman" w:eastAsia="Yu Gothic" w:hAnsi="Times New Roman"/>
                <w:szCs w:val="20"/>
                <w:lang w:eastAsia="ja-JP"/>
              </w:rPr>
              <w:t xml:space="preserve"> and the center frequency of the SSB of the neighbour cell are the same, and the subcarrier spacing of the two SSBs is also the same.</w:t>
            </w:r>
          </w:p>
          <w:p w14:paraId="6982439A" w14:textId="77777777" w:rsidR="001C330F" w:rsidRDefault="001C330F" w:rsidP="00F829A6">
            <w:pPr>
              <w:autoSpaceDE w:val="0"/>
              <w:autoSpaceDN w:val="0"/>
              <w:spacing w:before="0" w:after="60"/>
              <w:ind w:left="432" w:hanging="187"/>
            </w:pPr>
            <w:r w:rsidRPr="004D788B">
              <w:rPr>
                <w:rFonts w:ascii="Times New Roman" w:eastAsia="Yu Gothic" w:hAnsi="Times New Roman"/>
                <w:szCs w:val="20"/>
                <w:lang w:eastAsia="ja-JP"/>
              </w:rPr>
              <w:t xml:space="preserve">-   SSB based inter-frequency measurement: a measurement is defined as an SSB based inter-frequency measurement provided the </w:t>
            </w:r>
            <w:r w:rsidRPr="004D788B">
              <w:rPr>
                <w:rFonts w:ascii="Times New Roman" w:eastAsia="Yu Gothic" w:hAnsi="Times New Roman"/>
                <w:szCs w:val="20"/>
                <w:highlight w:val="magenta"/>
                <w:lang w:eastAsia="ja-JP"/>
              </w:rPr>
              <w:t>center frequency of the SSB of the serving cell</w:t>
            </w:r>
            <w:r w:rsidRPr="004D788B">
              <w:rPr>
                <w:rFonts w:ascii="Times New Roman" w:eastAsia="Yu Gothic" w:hAnsi="Times New Roman"/>
                <w:szCs w:val="20"/>
                <w:lang w:eastAsia="ja-JP"/>
              </w:rPr>
              <w:t xml:space="preserve"> and the center frequency of the SSB of the neighbour cell are different, or the subcarrier spacing of the two SSBs is different.</w:t>
            </w:r>
          </w:p>
        </w:tc>
      </w:tr>
    </w:tbl>
    <w:p w14:paraId="4DE41084" w14:textId="77777777" w:rsidR="001C330F" w:rsidRDefault="001C330F" w:rsidP="001C330F">
      <w:pPr>
        <w:pStyle w:val="0Maintext"/>
        <w:tabs>
          <w:tab w:val="left" w:pos="0"/>
        </w:tabs>
        <w:spacing w:after="0" w:afterAutospacing="0" w:line="240" w:lineRule="auto"/>
        <w:ind w:left="0" w:firstLine="0"/>
        <w:jc w:val="left"/>
      </w:pPr>
      <w:r>
        <w:t>It is not very clear which SSB in the highlighted text refers to, if a RedCap is configured with both CD-SSB and NCD-SSB. In our understanding, the SSB in the above definition of intra- and inter-frequency measurements should be the one UE uses for its serving cell measurements.</w:t>
      </w:r>
    </w:p>
    <w:p w14:paraId="415A7AA2" w14:textId="772E4F87" w:rsidR="001C330F" w:rsidRPr="00D53CA7" w:rsidRDefault="001C330F" w:rsidP="001C330F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D53CA7">
        <w:rPr>
          <w:b/>
          <w:bCs/>
        </w:rPr>
        <w:t xml:space="preserve">Observation </w:t>
      </w:r>
      <w:r w:rsidR="00973028">
        <w:rPr>
          <w:b/>
          <w:bCs/>
        </w:rPr>
        <w:t>1</w:t>
      </w:r>
      <w:r w:rsidRPr="00D53CA7">
        <w:rPr>
          <w:b/>
          <w:bCs/>
        </w:rPr>
        <w:t>.</w:t>
      </w:r>
      <w:r w:rsidRPr="00D53CA7">
        <w:rPr>
          <w:b/>
          <w:bCs/>
        </w:rPr>
        <w:tab/>
        <w:t xml:space="preserve">The SSB used in the definition of intra- and inter-frequency measurements </w:t>
      </w:r>
      <w:r>
        <w:rPr>
          <w:b/>
          <w:bCs/>
        </w:rPr>
        <w:t>should be</w:t>
      </w:r>
      <w:r w:rsidRPr="00D53CA7">
        <w:rPr>
          <w:b/>
          <w:bCs/>
        </w:rPr>
        <w:t xml:space="preserve"> the one used by UE for its serving cell measurements.</w:t>
      </w:r>
    </w:p>
    <w:p w14:paraId="471F7B28" w14:textId="77777777" w:rsidR="001C330F" w:rsidRDefault="001C330F" w:rsidP="001C330F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</w:pPr>
      <w:r>
        <w:t>This observation then naturally leads to the following proposal:</w:t>
      </w:r>
    </w:p>
    <w:p w14:paraId="1DC4935C" w14:textId="19409C92" w:rsidR="001C330F" w:rsidRPr="00D53CA7" w:rsidRDefault="001C330F" w:rsidP="001C330F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D53CA7">
        <w:rPr>
          <w:b/>
          <w:bCs/>
        </w:rPr>
        <w:t xml:space="preserve">Proposal </w:t>
      </w:r>
      <w:r w:rsidR="00973028">
        <w:rPr>
          <w:b/>
          <w:bCs/>
        </w:rPr>
        <w:t>1</w:t>
      </w:r>
      <w:r w:rsidRPr="00D53CA7">
        <w:rPr>
          <w:b/>
          <w:bCs/>
        </w:rPr>
        <w:t>.</w:t>
      </w:r>
      <w:r w:rsidRPr="00D53CA7">
        <w:rPr>
          <w:b/>
          <w:bCs/>
        </w:rPr>
        <w:tab/>
      </w:r>
      <w:r>
        <w:rPr>
          <w:b/>
          <w:bCs/>
        </w:rPr>
        <w:t xml:space="preserve">Update the definition of </w:t>
      </w:r>
      <w:r w:rsidRPr="00D53CA7">
        <w:rPr>
          <w:b/>
          <w:bCs/>
        </w:rPr>
        <w:t xml:space="preserve">intra-frequency </w:t>
      </w:r>
      <w:r>
        <w:rPr>
          <w:b/>
          <w:bCs/>
        </w:rPr>
        <w:t xml:space="preserve">and inter-frequency </w:t>
      </w:r>
      <w:r w:rsidRPr="00D53CA7">
        <w:rPr>
          <w:b/>
          <w:bCs/>
        </w:rPr>
        <w:t>measurement</w:t>
      </w:r>
      <w:r>
        <w:rPr>
          <w:b/>
          <w:bCs/>
        </w:rPr>
        <w:t>s</w:t>
      </w:r>
      <w:r w:rsidRPr="00D53CA7">
        <w:rPr>
          <w:b/>
          <w:bCs/>
        </w:rPr>
        <w:t xml:space="preserve"> </w:t>
      </w:r>
      <w:r>
        <w:rPr>
          <w:b/>
          <w:bCs/>
        </w:rPr>
        <w:t>in the stage-2 spec that they are with respect to</w:t>
      </w:r>
      <w:r w:rsidRPr="00D53CA7">
        <w:rPr>
          <w:b/>
          <w:bCs/>
        </w:rPr>
        <w:t xml:space="preserve"> the SSB in </w:t>
      </w:r>
      <w:r>
        <w:rPr>
          <w:b/>
          <w:bCs/>
        </w:rPr>
        <w:t>the</w:t>
      </w:r>
      <w:r w:rsidRPr="00D53CA7">
        <w:rPr>
          <w:b/>
          <w:bCs/>
        </w:rPr>
        <w:t xml:space="preserve"> servingCellMO used </w:t>
      </w:r>
      <w:r>
        <w:rPr>
          <w:b/>
          <w:bCs/>
        </w:rPr>
        <w:t xml:space="preserve">by UE </w:t>
      </w:r>
      <w:r w:rsidRPr="00D53CA7">
        <w:rPr>
          <w:b/>
          <w:bCs/>
        </w:rPr>
        <w:t>in its active BWP</w:t>
      </w:r>
      <w:r>
        <w:rPr>
          <w:b/>
          <w:bCs/>
        </w:rPr>
        <w:t>.</w:t>
      </w:r>
    </w:p>
    <w:p w14:paraId="588953F0" w14:textId="77777777" w:rsidR="002624B7" w:rsidRDefault="00B869D6" w:rsidP="00973028">
      <w:pPr>
        <w:pStyle w:val="0Maintext"/>
        <w:spacing w:before="360" w:after="0" w:afterAutospacing="0" w:line="240" w:lineRule="auto"/>
        <w:ind w:left="0" w:firstLine="0"/>
        <w:jc w:val="left"/>
      </w:pPr>
      <w:r>
        <w:t>In the current specification, serving</w:t>
      </w:r>
      <w:r w:rsidR="002624B7">
        <w:t>C</w:t>
      </w:r>
      <w:r>
        <w:t>ellMO is configured under ServingCellConfig IE</w:t>
      </w:r>
      <w:r w:rsidR="002624B7">
        <w:t xml:space="preserve">. Therefore, serving cell MO is configured per cell, not per BWP. </w:t>
      </w:r>
    </w:p>
    <w:p w14:paraId="4199E68D" w14:textId="46E3E5DC" w:rsidR="00697931" w:rsidRDefault="00B2013A" w:rsidP="00605AAE">
      <w:pPr>
        <w:pStyle w:val="0Maintext"/>
        <w:tabs>
          <w:tab w:val="left" w:pos="0"/>
        </w:tabs>
        <w:spacing w:after="0" w:afterAutospacing="0" w:line="240" w:lineRule="auto"/>
        <w:ind w:left="0" w:firstLine="0"/>
        <w:jc w:val="left"/>
      </w:pPr>
      <w:r>
        <w:t>It is</w:t>
      </w:r>
      <w:r w:rsidR="002624B7">
        <w:t xml:space="preserve"> possible </w:t>
      </w:r>
      <w:r w:rsidR="007F6E2B">
        <w:t xml:space="preserve">that </w:t>
      </w:r>
      <w:r w:rsidR="006E5C77">
        <w:t xml:space="preserve">for </w:t>
      </w:r>
      <w:r w:rsidR="007C42D1">
        <w:t xml:space="preserve">a </w:t>
      </w:r>
      <w:r w:rsidR="006E5C77">
        <w:t>RedCap UE</w:t>
      </w:r>
      <w:r w:rsidR="007F6E2B">
        <w:t xml:space="preserve">, </w:t>
      </w:r>
      <w:r w:rsidR="006E5C77">
        <w:t>one of its dedicated BWP includes only NCD-SSB and another BWP includes only CD-SSB. Since only one servingCellMO can be configured</w:t>
      </w:r>
      <w:r w:rsidR="007C42D1">
        <w:t xml:space="preserve">, the current configuration framework </w:t>
      </w:r>
      <w:r w:rsidR="00D671E6">
        <w:t>requires UE</w:t>
      </w:r>
      <w:r w:rsidR="001649DE">
        <w:t xml:space="preserve"> to measure the same serving cell</w:t>
      </w:r>
      <w:r w:rsidR="002624B7">
        <w:t xml:space="preserve"> </w:t>
      </w:r>
      <w:r w:rsidR="00A62454">
        <w:t xml:space="preserve">MO even after it switches to a BWP which does not contain the SSB </w:t>
      </w:r>
      <w:r w:rsidR="00C9211D">
        <w:t>in that</w:t>
      </w:r>
      <w:r w:rsidR="00A62454">
        <w:t xml:space="preserve"> MO. </w:t>
      </w:r>
      <w:r w:rsidR="007353FE">
        <w:t xml:space="preserve">That </w:t>
      </w:r>
      <w:r w:rsidR="002644C4">
        <w:t xml:space="preserve">creates inefficiency, because UE </w:t>
      </w:r>
      <w:r w:rsidR="00C9211D">
        <w:t>would</w:t>
      </w:r>
      <w:r w:rsidR="002644C4">
        <w:t xml:space="preserve"> have to rely on measurement gap to perform serving cell measurements</w:t>
      </w:r>
      <w:r w:rsidR="00C9211D">
        <w:t xml:space="preserve"> in that case</w:t>
      </w:r>
      <w:r w:rsidR="002644C4">
        <w:t xml:space="preserve">. </w:t>
      </w:r>
      <w:r w:rsidR="00FF1A0B">
        <w:t>Alternatively</w:t>
      </w:r>
      <w:r w:rsidR="005C571B">
        <w:t>, n</w:t>
      </w:r>
      <w:r w:rsidR="008A61EF">
        <w:t xml:space="preserve">etwork </w:t>
      </w:r>
      <w:r w:rsidR="00FF1A0B">
        <w:t>may</w:t>
      </w:r>
      <w:r w:rsidR="008A61EF">
        <w:t xml:space="preserve"> RRC reconfigure the </w:t>
      </w:r>
      <w:r w:rsidR="008A61EF">
        <w:lastRenderedPageBreak/>
        <w:t>servingCellMO</w:t>
      </w:r>
      <w:r w:rsidR="00FF1A0B">
        <w:t xml:space="preserve"> to </w:t>
      </w:r>
      <w:r w:rsidR="00712AD8">
        <w:t xml:space="preserve">include the SSB contained in the new BWP. But this approach </w:t>
      </w:r>
      <w:r w:rsidR="005C571B">
        <w:t xml:space="preserve">has its own issues, e.g. </w:t>
      </w:r>
      <w:r w:rsidR="00712AD8">
        <w:t xml:space="preserve">this reconfiguration may have to be performed whenever UE switches BWP. That creates </w:t>
      </w:r>
      <w:r w:rsidR="006E0D2B">
        <w:t>overhead in signaling and delay in</w:t>
      </w:r>
      <w:r w:rsidR="00B51DDB">
        <w:t xml:space="preserve"> starting new serving cell measurements</w:t>
      </w:r>
      <w:r w:rsidR="008A61EF">
        <w:t xml:space="preserve">. </w:t>
      </w:r>
      <w:r w:rsidR="00C33253">
        <w:t xml:space="preserve"> </w:t>
      </w:r>
    </w:p>
    <w:p w14:paraId="7309F051" w14:textId="725438F4" w:rsidR="0070670E" w:rsidRPr="001264E1" w:rsidRDefault="004D2FF9" w:rsidP="004D2FF9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1264E1">
        <w:rPr>
          <w:b/>
          <w:bCs/>
        </w:rPr>
        <w:t xml:space="preserve">Observation </w:t>
      </w:r>
      <w:r w:rsidR="00973028">
        <w:rPr>
          <w:b/>
          <w:bCs/>
        </w:rPr>
        <w:t>2</w:t>
      </w:r>
      <w:r w:rsidR="00B24E3E" w:rsidRPr="001264E1">
        <w:rPr>
          <w:b/>
          <w:bCs/>
        </w:rPr>
        <w:t>.</w:t>
      </w:r>
      <w:r w:rsidRPr="001264E1">
        <w:rPr>
          <w:b/>
          <w:bCs/>
        </w:rPr>
        <w:tab/>
      </w:r>
      <w:r w:rsidR="00DB0AD9">
        <w:rPr>
          <w:b/>
          <w:bCs/>
        </w:rPr>
        <w:t>N</w:t>
      </w:r>
      <w:r w:rsidR="00B8715E">
        <w:rPr>
          <w:b/>
          <w:bCs/>
        </w:rPr>
        <w:t>etwork either ha</w:t>
      </w:r>
      <w:r w:rsidR="002A3F3D">
        <w:rPr>
          <w:b/>
          <w:bCs/>
        </w:rPr>
        <w:t>s</w:t>
      </w:r>
      <w:r w:rsidR="00B8715E">
        <w:rPr>
          <w:b/>
          <w:bCs/>
        </w:rPr>
        <w:t xml:space="preserve"> to reconfigure </w:t>
      </w:r>
      <w:r w:rsidR="002514AC" w:rsidRPr="001264E1">
        <w:rPr>
          <w:b/>
          <w:bCs/>
        </w:rPr>
        <w:t xml:space="preserve">servingCellMO </w:t>
      </w:r>
      <w:r w:rsidR="002A3F3D">
        <w:rPr>
          <w:b/>
          <w:bCs/>
        </w:rPr>
        <w:t>or configure measurement gap</w:t>
      </w:r>
      <w:r w:rsidR="00DB0AD9">
        <w:rPr>
          <w:b/>
          <w:bCs/>
        </w:rPr>
        <w:t>s</w:t>
      </w:r>
      <w:r w:rsidR="002A3F3D">
        <w:rPr>
          <w:b/>
          <w:bCs/>
        </w:rPr>
        <w:t xml:space="preserve"> for serving cell measurement</w:t>
      </w:r>
      <w:r w:rsidR="00A96B5B">
        <w:rPr>
          <w:b/>
          <w:bCs/>
        </w:rPr>
        <w:t>s</w:t>
      </w:r>
      <w:r w:rsidR="002A3F3D">
        <w:rPr>
          <w:b/>
          <w:bCs/>
        </w:rPr>
        <w:t xml:space="preserve"> </w:t>
      </w:r>
      <w:r w:rsidR="00AA3CB9" w:rsidRPr="001264E1">
        <w:rPr>
          <w:b/>
          <w:bCs/>
        </w:rPr>
        <w:t xml:space="preserve">after a BWP switch, if the source and </w:t>
      </w:r>
      <w:r w:rsidR="009F6251" w:rsidRPr="001264E1">
        <w:rPr>
          <w:b/>
          <w:bCs/>
        </w:rPr>
        <w:t xml:space="preserve">target BWPs </w:t>
      </w:r>
      <w:r w:rsidR="00CF4E3C" w:rsidRPr="001264E1">
        <w:rPr>
          <w:b/>
          <w:bCs/>
        </w:rPr>
        <w:t xml:space="preserve">are configured with different </w:t>
      </w:r>
      <w:r w:rsidR="009F6251" w:rsidRPr="001264E1">
        <w:rPr>
          <w:b/>
          <w:bCs/>
        </w:rPr>
        <w:t>SSB</w:t>
      </w:r>
      <w:r w:rsidR="00CF4E3C" w:rsidRPr="001264E1">
        <w:rPr>
          <w:b/>
          <w:bCs/>
        </w:rPr>
        <w:t>s</w:t>
      </w:r>
      <w:r w:rsidR="00213FE8" w:rsidRPr="001264E1">
        <w:rPr>
          <w:b/>
          <w:bCs/>
        </w:rPr>
        <w:t>.</w:t>
      </w:r>
    </w:p>
    <w:p w14:paraId="3EAE3E3C" w14:textId="79CB1DF0" w:rsidR="00B51DDB" w:rsidRDefault="006969A3" w:rsidP="00CF033B">
      <w:pPr>
        <w:pStyle w:val="0Maintext"/>
        <w:spacing w:after="0" w:afterAutospacing="0" w:line="240" w:lineRule="auto"/>
        <w:ind w:left="0" w:firstLine="0"/>
        <w:jc w:val="left"/>
      </w:pPr>
      <w:r>
        <w:t>A solution to</w:t>
      </w:r>
      <w:r w:rsidR="009B5FF8">
        <w:t xml:space="preserve"> this issue</w:t>
      </w:r>
      <w:r>
        <w:t xml:space="preserve"> is to </w:t>
      </w:r>
      <w:r w:rsidR="00382D02">
        <w:t xml:space="preserve">make the servingCellMO per BWP instead of per cell. </w:t>
      </w:r>
      <w:r w:rsidR="00EB76E9">
        <w:t xml:space="preserve">To minimize the impact on the </w:t>
      </w:r>
      <w:r w:rsidR="00F264C5">
        <w:t>current</w:t>
      </w:r>
      <w:r w:rsidR="00EB76E9">
        <w:t xml:space="preserve"> signaling </w:t>
      </w:r>
      <w:r w:rsidR="00CF033B">
        <w:t xml:space="preserve">framework, </w:t>
      </w:r>
      <w:r w:rsidR="00D82A60">
        <w:t>we think</w:t>
      </w:r>
      <w:r w:rsidR="00CF033B">
        <w:t xml:space="preserve"> the following changes</w:t>
      </w:r>
      <w:r w:rsidR="00D82A60">
        <w:t xml:space="preserve"> </w:t>
      </w:r>
      <w:r w:rsidR="00B84559">
        <w:t>can</w:t>
      </w:r>
      <w:r w:rsidR="00D82A60">
        <w:t xml:space="preserve"> be considered</w:t>
      </w:r>
      <w:r w:rsidR="00CF033B">
        <w:t>:</w:t>
      </w:r>
      <w:r w:rsidR="009B5FF8">
        <w:t xml:space="preserve"> </w:t>
      </w:r>
    </w:p>
    <w:p w14:paraId="6A1A62E0" w14:textId="0F30238F" w:rsidR="00CF033B" w:rsidRDefault="00CF033B" w:rsidP="00681DA5">
      <w:pPr>
        <w:pStyle w:val="0Maintext"/>
        <w:numPr>
          <w:ilvl w:val="0"/>
          <w:numId w:val="35"/>
        </w:numPr>
        <w:spacing w:before="60" w:after="0" w:afterAutospacing="0" w:line="240" w:lineRule="auto"/>
        <w:ind w:left="634" w:hanging="274"/>
        <w:jc w:val="left"/>
      </w:pPr>
      <w:r>
        <w:t>Keep the current servingCellMO under ServingCellConfig as is</w:t>
      </w:r>
      <w:r w:rsidR="008942D5">
        <w:t xml:space="preserve">, </w:t>
      </w:r>
      <w:r w:rsidR="00F264C5">
        <w:t>because</w:t>
      </w:r>
      <w:r w:rsidR="008942D5">
        <w:t xml:space="preserve"> it can be defined based on any SSB </w:t>
      </w:r>
      <w:r w:rsidR="00454EB7">
        <w:t xml:space="preserve">as it is now. </w:t>
      </w:r>
      <w:r w:rsidR="009A2F4D">
        <w:t>This servingCellMO will be referred as default servingCellMO in this paper</w:t>
      </w:r>
      <w:r w:rsidR="004429EE">
        <w:t xml:space="preserve">. </w:t>
      </w:r>
    </w:p>
    <w:p w14:paraId="7A035F06" w14:textId="61E23EAE" w:rsidR="004429EE" w:rsidRDefault="008231BB" w:rsidP="00681DA5">
      <w:pPr>
        <w:pStyle w:val="0Maintext"/>
        <w:numPr>
          <w:ilvl w:val="0"/>
          <w:numId w:val="35"/>
        </w:numPr>
        <w:spacing w:before="60" w:after="0" w:afterAutospacing="0" w:line="240" w:lineRule="auto"/>
        <w:ind w:left="634" w:hanging="274"/>
        <w:jc w:val="left"/>
      </w:pPr>
      <w:r>
        <w:t>N</w:t>
      </w:r>
      <w:r w:rsidR="004429EE">
        <w:t>etwork can optionally configure another servingCellMO under BWP</w:t>
      </w:r>
      <w:r w:rsidR="00D56DC5">
        <w:t>-DedicatedDownlink</w:t>
      </w:r>
      <w:r w:rsidR="00731114">
        <w:t xml:space="preserve"> for </w:t>
      </w:r>
      <w:r>
        <w:t>a</w:t>
      </w:r>
      <w:r w:rsidR="00731114">
        <w:t xml:space="preserve"> BWP. </w:t>
      </w:r>
      <w:r w:rsidR="003F09EA">
        <w:t xml:space="preserve">This servingCellMO should be defined based on the SSB </w:t>
      </w:r>
      <w:r w:rsidR="00C3624F">
        <w:t xml:space="preserve">configured in the associated BWP. </w:t>
      </w:r>
      <w:r w:rsidR="00CD7566">
        <w:t>It will be referred to as a dedicated servingCellMO for the associated BWP.</w:t>
      </w:r>
    </w:p>
    <w:p w14:paraId="0C247251" w14:textId="07994384" w:rsidR="00C65042" w:rsidRDefault="00BB312F" w:rsidP="00681DA5">
      <w:pPr>
        <w:pStyle w:val="0Maintext"/>
        <w:numPr>
          <w:ilvl w:val="0"/>
          <w:numId w:val="35"/>
        </w:numPr>
        <w:spacing w:before="60" w:after="0" w:afterAutospacing="0" w:line="240" w:lineRule="auto"/>
        <w:ind w:left="634" w:hanging="274"/>
        <w:jc w:val="left"/>
      </w:pPr>
      <w:r>
        <w:t xml:space="preserve">If UE operates in a </w:t>
      </w:r>
      <w:r w:rsidR="003C1967">
        <w:t xml:space="preserve">dedicated </w:t>
      </w:r>
      <w:r>
        <w:t xml:space="preserve">BWP </w:t>
      </w:r>
      <w:r w:rsidR="00D051F5">
        <w:t>which</w:t>
      </w:r>
      <w:r w:rsidR="003C1967">
        <w:t xml:space="preserve"> is configured with a dedicated servingCellMO, UE shall perform its serving cell m</w:t>
      </w:r>
      <w:r w:rsidR="0069489F">
        <w:t>easurements based on the SSB included in this dedicated servingCellMO, instead o</w:t>
      </w:r>
      <w:r w:rsidR="00FF5AE0">
        <w:t xml:space="preserve">f the default servingCellMO. Otherwise, UE </w:t>
      </w:r>
      <w:r w:rsidR="00D329FE">
        <w:t>shall</w:t>
      </w:r>
      <w:r w:rsidR="00FF5AE0">
        <w:t xml:space="preserve"> perform its serving cell measurements </w:t>
      </w:r>
      <w:r w:rsidR="00D329FE">
        <w:t xml:space="preserve">according to </w:t>
      </w:r>
      <w:r w:rsidR="00FF5AE0">
        <w:t>the default servingCellMO as in legacy.</w:t>
      </w:r>
    </w:p>
    <w:p w14:paraId="3CA695FB" w14:textId="4E073C84" w:rsidR="00BB312F" w:rsidRDefault="00C65042" w:rsidP="00C65042">
      <w:pPr>
        <w:pStyle w:val="0Maintext"/>
        <w:spacing w:after="0" w:afterAutospacing="0" w:line="240" w:lineRule="auto"/>
        <w:ind w:left="0" w:firstLine="0"/>
        <w:jc w:val="left"/>
      </w:pPr>
      <w:r>
        <w:t xml:space="preserve">With the above enhancement, network does not need to reconfigure UE’s servingCellMO when UE switches </w:t>
      </w:r>
      <w:r w:rsidR="009D006D">
        <w:t>to a</w:t>
      </w:r>
      <w:r>
        <w:t xml:space="preserve"> BWP</w:t>
      </w:r>
      <w:r w:rsidR="009D006D">
        <w:t xml:space="preserve"> with a different SSB</w:t>
      </w:r>
      <w:r w:rsidR="00127463">
        <w:t xml:space="preserve">. </w:t>
      </w:r>
      <w:r w:rsidR="009D006D">
        <w:t>I</w:t>
      </w:r>
      <w:r w:rsidR="00127463">
        <w:t xml:space="preserve">t helps </w:t>
      </w:r>
      <w:r w:rsidR="009D006D">
        <w:t xml:space="preserve">UE </w:t>
      </w:r>
      <w:r w:rsidR="00127463">
        <w:t>avoid measurement gap</w:t>
      </w:r>
      <w:r w:rsidR="00B24110">
        <w:t>s</w:t>
      </w:r>
      <w:r w:rsidR="00127463">
        <w:t xml:space="preserve"> </w:t>
      </w:r>
      <w:r w:rsidR="000F5474">
        <w:t>or frequent RRC reconfiguration</w:t>
      </w:r>
      <w:r w:rsidR="00BF7371">
        <w:t>.</w:t>
      </w:r>
      <w:r w:rsidR="00B24110">
        <w:t xml:space="preserve"> </w:t>
      </w:r>
      <w:r w:rsidR="0069489F">
        <w:t xml:space="preserve"> </w:t>
      </w:r>
    </w:p>
    <w:p w14:paraId="2209F80A" w14:textId="11DB2EA6" w:rsidR="008C1379" w:rsidRPr="00CB51A8" w:rsidRDefault="008C1379" w:rsidP="004D2FF9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CB51A8">
        <w:rPr>
          <w:b/>
          <w:bCs/>
        </w:rPr>
        <w:t xml:space="preserve">Proposal </w:t>
      </w:r>
      <w:r w:rsidR="00973028">
        <w:rPr>
          <w:b/>
          <w:bCs/>
        </w:rPr>
        <w:t>2</w:t>
      </w:r>
      <w:r w:rsidRPr="00CB51A8">
        <w:rPr>
          <w:b/>
          <w:bCs/>
        </w:rPr>
        <w:t xml:space="preserve">. </w:t>
      </w:r>
      <w:r w:rsidRPr="00CB51A8">
        <w:rPr>
          <w:b/>
          <w:bCs/>
        </w:rPr>
        <w:tab/>
      </w:r>
      <w:r w:rsidR="00903555" w:rsidRPr="00CB51A8">
        <w:rPr>
          <w:b/>
          <w:bCs/>
        </w:rPr>
        <w:t>N</w:t>
      </w:r>
      <w:r w:rsidRPr="00CB51A8">
        <w:rPr>
          <w:b/>
          <w:bCs/>
        </w:rPr>
        <w:t xml:space="preserve">etwork can optionally configure a </w:t>
      </w:r>
      <w:r w:rsidR="00DA62EA" w:rsidRPr="00CB51A8">
        <w:rPr>
          <w:b/>
          <w:bCs/>
        </w:rPr>
        <w:t>BWP-specific</w:t>
      </w:r>
      <w:r w:rsidRPr="00CB51A8">
        <w:rPr>
          <w:b/>
          <w:bCs/>
        </w:rPr>
        <w:t xml:space="preserve"> </w:t>
      </w:r>
      <w:r w:rsidR="000D7C08" w:rsidRPr="00CB51A8">
        <w:rPr>
          <w:b/>
          <w:bCs/>
        </w:rPr>
        <w:t>s</w:t>
      </w:r>
      <w:r w:rsidRPr="00CB51A8">
        <w:rPr>
          <w:b/>
          <w:bCs/>
        </w:rPr>
        <w:t xml:space="preserve">ervingCellMO </w:t>
      </w:r>
      <w:r w:rsidR="00D8190A">
        <w:rPr>
          <w:b/>
          <w:bCs/>
        </w:rPr>
        <w:t>under</w:t>
      </w:r>
      <w:r w:rsidRPr="00CB51A8">
        <w:rPr>
          <w:b/>
          <w:bCs/>
        </w:rPr>
        <w:t xml:space="preserve"> BWP-DownlinkDedicated IE, </w:t>
      </w:r>
      <w:r w:rsidR="00152585">
        <w:rPr>
          <w:b/>
          <w:bCs/>
        </w:rPr>
        <w:t xml:space="preserve">if this BWP contains a SSB different from the one in </w:t>
      </w:r>
      <w:r w:rsidR="00B252C0" w:rsidRPr="00CB51A8">
        <w:rPr>
          <w:b/>
          <w:bCs/>
        </w:rPr>
        <w:t xml:space="preserve">the default servingCellMO </w:t>
      </w:r>
      <w:r w:rsidR="00152585">
        <w:rPr>
          <w:b/>
          <w:bCs/>
        </w:rPr>
        <w:t>under</w:t>
      </w:r>
      <w:r w:rsidR="00B252C0" w:rsidRPr="00CB51A8">
        <w:rPr>
          <w:b/>
          <w:bCs/>
        </w:rPr>
        <w:t xml:space="preserve"> ServingCellConfig IE</w:t>
      </w:r>
      <w:r w:rsidRPr="00CB51A8">
        <w:rPr>
          <w:b/>
          <w:bCs/>
        </w:rPr>
        <w:t>.</w:t>
      </w:r>
    </w:p>
    <w:p w14:paraId="15C29AB3" w14:textId="34F520B7" w:rsidR="00903555" w:rsidRPr="00CB51A8" w:rsidRDefault="00903555" w:rsidP="004D2FF9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CB51A8">
        <w:rPr>
          <w:b/>
          <w:bCs/>
        </w:rPr>
        <w:t xml:space="preserve">Proposal </w:t>
      </w:r>
      <w:r w:rsidR="00973028">
        <w:rPr>
          <w:b/>
          <w:bCs/>
        </w:rPr>
        <w:t>3</w:t>
      </w:r>
      <w:r w:rsidRPr="00CB51A8">
        <w:rPr>
          <w:b/>
          <w:bCs/>
        </w:rPr>
        <w:t xml:space="preserve">. </w:t>
      </w:r>
      <w:r w:rsidRPr="00CB51A8">
        <w:rPr>
          <w:b/>
          <w:bCs/>
        </w:rPr>
        <w:tab/>
      </w:r>
      <w:r w:rsidR="00F207C6">
        <w:rPr>
          <w:b/>
          <w:bCs/>
        </w:rPr>
        <w:t>When</w:t>
      </w:r>
      <w:r w:rsidRPr="00CB51A8">
        <w:rPr>
          <w:b/>
          <w:bCs/>
        </w:rPr>
        <w:t xml:space="preserve"> UE </w:t>
      </w:r>
      <w:r w:rsidR="00494BBD" w:rsidRPr="00CB51A8">
        <w:rPr>
          <w:b/>
          <w:bCs/>
        </w:rPr>
        <w:t>is</w:t>
      </w:r>
      <w:r w:rsidRPr="00CB51A8">
        <w:rPr>
          <w:b/>
          <w:bCs/>
        </w:rPr>
        <w:t xml:space="preserve"> in a BWP </w:t>
      </w:r>
      <w:r w:rsidR="00A91017">
        <w:rPr>
          <w:b/>
          <w:bCs/>
        </w:rPr>
        <w:t>which</w:t>
      </w:r>
      <w:r w:rsidRPr="00CB51A8">
        <w:rPr>
          <w:b/>
          <w:bCs/>
        </w:rPr>
        <w:t xml:space="preserve"> is configured with a dedicated servingCellMO, </w:t>
      </w:r>
      <w:r w:rsidR="00F207C6">
        <w:rPr>
          <w:b/>
          <w:bCs/>
        </w:rPr>
        <w:t>it</w:t>
      </w:r>
      <w:r w:rsidRPr="00CB51A8">
        <w:rPr>
          <w:b/>
          <w:bCs/>
        </w:rPr>
        <w:t xml:space="preserve"> shall perform its serving cell measurements </w:t>
      </w:r>
      <w:r w:rsidR="00CB51A8" w:rsidRPr="00CB51A8">
        <w:rPr>
          <w:b/>
          <w:bCs/>
        </w:rPr>
        <w:t>according to</w:t>
      </w:r>
      <w:r w:rsidRPr="00CB51A8">
        <w:rPr>
          <w:b/>
          <w:bCs/>
        </w:rPr>
        <w:t xml:space="preserve"> </w:t>
      </w:r>
      <w:r w:rsidR="00F207C6">
        <w:rPr>
          <w:b/>
          <w:bCs/>
        </w:rPr>
        <w:t>the</w:t>
      </w:r>
      <w:r w:rsidRPr="00CB51A8">
        <w:rPr>
          <w:b/>
          <w:bCs/>
        </w:rPr>
        <w:t xml:space="preserve"> dedicated servingCellMO, instead of the default servingCellMO </w:t>
      </w:r>
      <w:r w:rsidR="00E472C4">
        <w:rPr>
          <w:b/>
          <w:bCs/>
        </w:rPr>
        <w:t xml:space="preserve">configured </w:t>
      </w:r>
      <w:r w:rsidRPr="00CB51A8">
        <w:rPr>
          <w:b/>
          <w:bCs/>
        </w:rPr>
        <w:t>under ServingCellConfig</w:t>
      </w:r>
      <w:r w:rsidR="00F207C6">
        <w:rPr>
          <w:b/>
          <w:bCs/>
        </w:rPr>
        <w:t xml:space="preserve"> IE</w:t>
      </w:r>
      <w:r w:rsidRPr="00CB51A8">
        <w:rPr>
          <w:b/>
          <w:bCs/>
        </w:rPr>
        <w:t xml:space="preserve">. </w:t>
      </w:r>
    </w:p>
    <w:p w14:paraId="4FC20556" w14:textId="18491771" w:rsidR="00A42878" w:rsidRDefault="00911241" w:rsidP="00973028">
      <w:pPr>
        <w:pStyle w:val="0Maintext"/>
        <w:tabs>
          <w:tab w:val="left" w:pos="0"/>
        </w:tabs>
        <w:spacing w:before="240" w:after="0" w:afterAutospacing="0" w:line="240" w:lineRule="auto"/>
        <w:ind w:left="0" w:firstLine="0"/>
        <w:jc w:val="left"/>
      </w:pPr>
      <w:r>
        <w:t xml:space="preserve">Since </w:t>
      </w:r>
      <w:r w:rsidR="00E16F0F">
        <w:t xml:space="preserve">intra-frequency and inter-frequency measurements </w:t>
      </w:r>
      <w:r w:rsidR="009D1FED">
        <w:t>are defined with respect to UE’s serving</w:t>
      </w:r>
      <w:r w:rsidR="00D41A83">
        <w:t xml:space="preserve"> cell MO</w:t>
      </w:r>
      <w:r w:rsidR="009D1FED">
        <w:t xml:space="preserve">, </w:t>
      </w:r>
      <w:r w:rsidR="009C48C7">
        <w:t xml:space="preserve">additional signaling is needed for UE to </w:t>
      </w:r>
      <w:r w:rsidR="00B31A70">
        <w:t xml:space="preserve">update its </w:t>
      </w:r>
      <w:r w:rsidR="007F0F4C">
        <w:t xml:space="preserve">MOs related to </w:t>
      </w:r>
      <w:r w:rsidR="00B31A70">
        <w:t xml:space="preserve">neighbor cell </w:t>
      </w:r>
      <w:r w:rsidR="007F0F4C">
        <w:t>measurements</w:t>
      </w:r>
      <w:r w:rsidR="00F16B11">
        <w:t>, when UE changes its servingCellMO</w:t>
      </w:r>
      <w:r w:rsidR="00B31A70">
        <w:t xml:space="preserve">. </w:t>
      </w:r>
      <w:r w:rsidR="007F0F4C">
        <w:t xml:space="preserve">In the following, we use an example to illustrate </w:t>
      </w:r>
      <w:r w:rsidR="00F47EA5">
        <w:t>its</w:t>
      </w:r>
      <w:r w:rsidR="007F0F4C">
        <w:t xml:space="preserve"> </w:t>
      </w:r>
      <w:r w:rsidR="00C75175">
        <w:t xml:space="preserve">necessity. </w:t>
      </w:r>
    </w:p>
    <w:p w14:paraId="66B2401B" w14:textId="6E0F3C40" w:rsidR="005A5543" w:rsidRPr="00F55B8B" w:rsidRDefault="00E244C6" w:rsidP="00E2522D">
      <w:pPr>
        <w:pStyle w:val="0Maintext"/>
        <w:tabs>
          <w:tab w:val="left" w:pos="0"/>
        </w:tabs>
        <w:spacing w:before="0" w:after="0" w:afterAutospacing="0" w:line="240" w:lineRule="auto"/>
        <w:ind w:left="0" w:firstLine="0"/>
        <w:jc w:val="center"/>
        <w:rPr>
          <w:rFonts w:eastAsiaTheme="minorEastAsia"/>
          <w:lang w:eastAsia="zh-CN"/>
        </w:rPr>
      </w:pPr>
      <w:r>
        <w:object w:dxaOrig="11036" w:dyaOrig="3915" w14:anchorId="370277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15pt;height:142.35pt" o:ole="">
            <v:imagedata r:id="rId11" o:title=""/>
          </v:shape>
          <o:OLEObject Type="Embed" ProgID="Visio.Drawing.15" ShapeID="_x0000_i1025" DrawAspect="Content" ObjectID="_1712423191" r:id="rId12"/>
        </w:object>
      </w:r>
    </w:p>
    <w:p w14:paraId="2278A026" w14:textId="77F9ED4A" w:rsidR="00FA2CF2" w:rsidRDefault="001450ED" w:rsidP="00E2522D">
      <w:pPr>
        <w:pStyle w:val="0Maintext"/>
        <w:tabs>
          <w:tab w:val="left" w:pos="0"/>
        </w:tabs>
        <w:spacing w:before="0" w:after="0" w:afterAutospacing="0" w:line="240" w:lineRule="auto"/>
        <w:ind w:left="0" w:firstLine="0"/>
        <w:jc w:val="left"/>
      </w:pPr>
      <w:r>
        <w:t xml:space="preserve">In this example, </w:t>
      </w:r>
      <w:r w:rsidR="006309EA">
        <w:t xml:space="preserve">UE is configured with two dedicated BWPs, </w:t>
      </w:r>
      <w:r w:rsidR="00C268DB">
        <w:t xml:space="preserve">which contain CD-SSB and NCD-SSB, respectively. </w:t>
      </w:r>
      <w:r w:rsidR="00DD5774">
        <w:t>UE’s default servingCellMO is defined on CD-SSB</w:t>
      </w:r>
      <w:r w:rsidR="005A1440">
        <w:t xml:space="preserve"> (MO#1)</w:t>
      </w:r>
      <w:r w:rsidR="00AF4A87">
        <w:t>, which contains BWP#1</w:t>
      </w:r>
      <w:r w:rsidR="00DD5774">
        <w:t>. And its BWP#2, which contains NCD-SSB, is configured with a dedicated servingCellMO</w:t>
      </w:r>
      <w:r w:rsidR="005A1440">
        <w:t xml:space="preserve"> (MO#2).</w:t>
      </w:r>
    </w:p>
    <w:p w14:paraId="3ED4BE8A" w14:textId="25980047" w:rsidR="0042333A" w:rsidRDefault="000D656C" w:rsidP="00C268DB">
      <w:pPr>
        <w:pStyle w:val="0Maintext"/>
        <w:tabs>
          <w:tab w:val="left" w:pos="0"/>
        </w:tabs>
        <w:spacing w:after="0" w:afterAutospacing="0" w:line="240" w:lineRule="auto"/>
        <w:ind w:left="0" w:firstLine="0"/>
        <w:jc w:val="left"/>
      </w:pPr>
      <w:r>
        <w:t>Now l</w:t>
      </w:r>
      <w:r w:rsidR="00EB66C7">
        <w:t xml:space="preserve">et us </w:t>
      </w:r>
      <w:r w:rsidR="005C0DCB">
        <w:t>consider</w:t>
      </w:r>
      <w:r w:rsidR="00EB66C7">
        <w:t xml:space="preserve"> </w:t>
      </w:r>
      <w:r w:rsidR="005C0DCB">
        <w:t xml:space="preserve">mobility </w:t>
      </w:r>
      <w:r w:rsidR="00EB66C7">
        <w:t xml:space="preserve">event </w:t>
      </w:r>
      <w:r w:rsidR="005C0DCB">
        <w:t>A3</w:t>
      </w:r>
      <w:r w:rsidR="00D0546D">
        <w:t xml:space="preserve">. </w:t>
      </w:r>
    </w:p>
    <w:p w14:paraId="34E63BEF" w14:textId="66C01651" w:rsidR="00D0546D" w:rsidRDefault="00D0546D" w:rsidP="00C268DB">
      <w:pPr>
        <w:pStyle w:val="0Maintext"/>
        <w:tabs>
          <w:tab w:val="left" w:pos="0"/>
        </w:tabs>
        <w:spacing w:after="0" w:afterAutospacing="0" w:line="240" w:lineRule="auto"/>
        <w:ind w:left="0" w:firstLine="0"/>
        <w:jc w:val="left"/>
      </w:pPr>
      <w:r>
        <w:t xml:space="preserve">In Scenario A, </w:t>
      </w:r>
      <w:r w:rsidR="005104DF">
        <w:t xml:space="preserve">suppose </w:t>
      </w:r>
      <w:r w:rsidR="00487933">
        <w:t xml:space="preserve">UE’s neighbor cell is on the same frequency as UE’s CD-SSB. </w:t>
      </w:r>
      <w:r w:rsidR="008634B9">
        <w:t xml:space="preserve">So MO#1 is sufficient for </w:t>
      </w:r>
      <w:r w:rsidR="006902BD">
        <w:t xml:space="preserve">neighbor cell measurements </w:t>
      </w:r>
      <w:r w:rsidR="00BC764A">
        <w:t>required by</w:t>
      </w:r>
      <w:r w:rsidR="006902BD">
        <w:t xml:space="preserve"> event A3. Now suppose UE switches from BWP#1 </w:t>
      </w:r>
      <w:r w:rsidR="00CA616E">
        <w:t>to BWP#2</w:t>
      </w:r>
      <w:r w:rsidR="004C6542">
        <w:t xml:space="preserve">. As a result, UE </w:t>
      </w:r>
      <w:r w:rsidR="006D60C8">
        <w:t xml:space="preserve">switches </w:t>
      </w:r>
      <w:r w:rsidR="00E46788">
        <w:t xml:space="preserve">the dedicated servingCellMO configured for BWP#2. </w:t>
      </w:r>
      <w:r w:rsidR="009B27B0">
        <w:t xml:space="preserve">However, </w:t>
      </w:r>
      <w:r w:rsidR="00E46788">
        <w:t>UE’s neighbor cell measurements</w:t>
      </w:r>
      <w:r w:rsidR="000D2481">
        <w:t xml:space="preserve"> are still based on MO#1. </w:t>
      </w:r>
      <w:r w:rsidR="008F7D72">
        <w:t xml:space="preserve">Hence network needs </w:t>
      </w:r>
      <w:r w:rsidR="000D2481">
        <w:t xml:space="preserve">a way </w:t>
      </w:r>
      <w:r w:rsidR="008F7D72">
        <w:t xml:space="preserve">to signal UE to change those measurements </w:t>
      </w:r>
      <w:r w:rsidR="001C61FB">
        <w:t>to NCD-SSB</w:t>
      </w:r>
      <w:r w:rsidR="008F7D72">
        <w:t>.</w:t>
      </w:r>
    </w:p>
    <w:p w14:paraId="76EBB981" w14:textId="2EA73D17" w:rsidR="004F528C" w:rsidRDefault="005104DF" w:rsidP="00C268DB">
      <w:pPr>
        <w:pStyle w:val="0Maintext"/>
        <w:tabs>
          <w:tab w:val="left" w:pos="0"/>
        </w:tabs>
        <w:spacing w:after="0" w:afterAutospacing="0" w:line="240" w:lineRule="auto"/>
        <w:ind w:left="0" w:firstLine="0"/>
        <w:jc w:val="left"/>
      </w:pPr>
      <w:r>
        <w:t xml:space="preserve">In Scenario B, suppose UE’s neighbor cell is </w:t>
      </w:r>
      <w:r w:rsidR="007F7AA5">
        <w:t xml:space="preserve">on </w:t>
      </w:r>
      <w:r>
        <w:t>the same frequency as UE’s NCD-SSB. So</w:t>
      </w:r>
      <w:r w:rsidR="007F7AA5">
        <w:t xml:space="preserve"> network needs to configure MO#2 </w:t>
      </w:r>
      <w:r w:rsidR="00253B96">
        <w:t xml:space="preserve">for UE’s neighbor cell measurements. </w:t>
      </w:r>
      <w:r w:rsidR="004F528C">
        <w:t xml:space="preserve">When UE switches from BWP#1 to BWP#2, </w:t>
      </w:r>
      <w:r w:rsidR="00D86637">
        <w:t>it switches from the default servingCellMO (</w:t>
      </w:r>
      <w:r w:rsidR="003C096F">
        <w:t>i.e. MO#1)</w:t>
      </w:r>
      <w:r w:rsidR="00D86637">
        <w:t xml:space="preserve"> to the dedicated servingCellMO (i.e. MO#2). </w:t>
      </w:r>
      <w:r w:rsidR="001347AE">
        <w:t>When UE is i</w:t>
      </w:r>
      <w:r w:rsidR="00DF0EAA">
        <w:t xml:space="preserve">n </w:t>
      </w:r>
      <w:r w:rsidR="00A15934">
        <w:t>BWP#2</w:t>
      </w:r>
      <w:r w:rsidR="00DF0EAA">
        <w:t>, since neighbor cell</w:t>
      </w:r>
      <w:r w:rsidR="00EA4D15">
        <w:t>s are searched and measured on the same frequency as the serving</w:t>
      </w:r>
      <w:r w:rsidR="00955F30">
        <w:t xml:space="preserve"> cell </w:t>
      </w:r>
      <w:r w:rsidR="001347AE">
        <w:t>measurement</w:t>
      </w:r>
      <w:r w:rsidR="00955F30">
        <w:t xml:space="preserve"> (MO#2), no change is necessary. </w:t>
      </w:r>
    </w:p>
    <w:p w14:paraId="0B99F951" w14:textId="5CBE325B" w:rsidR="005104DF" w:rsidRDefault="00165E3A" w:rsidP="00C268DB">
      <w:pPr>
        <w:pStyle w:val="0Maintext"/>
        <w:tabs>
          <w:tab w:val="left" w:pos="0"/>
        </w:tabs>
        <w:spacing w:after="0" w:afterAutospacing="0" w:line="240" w:lineRule="auto"/>
        <w:ind w:left="0" w:firstLine="0"/>
        <w:jc w:val="left"/>
      </w:pPr>
      <w:r>
        <w:t xml:space="preserve">Through the above example, we can see that </w:t>
      </w:r>
      <w:r w:rsidR="00841767">
        <w:t xml:space="preserve">in addition to servingCellMO, </w:t>
      </w:r>
      <w:r w:rsidR="00D54839">
        <w:t>some</w:t>
      </w:r>
      <w:r w:rsidR="000F446E">
        <w:t xml:space="preserve"> MOs </w:t>
      </w:r>
      <w:r w:rsidR="003D2E7E">
        <w:t xml:space="preserve">also need to </w:t>
      </w:r>
      <w:r w:rsidR="0001243F">
        <w:t>be updated together</w:t>
      </w:r>
      <w:r w:rsidR="003D2E7E">
        <w:t xml:space="preserve"> with UE’s BWP</w:t>
      </w:r>
      <w:r w:rsidR="0001243F">
        <w:t xml:space="preserve"> switch</w:t>
      </w:r>
      <w:r w:rsidR="00841767">
        <w:t xml:space="preserve">, in order to </w:t>
      </w:r>
      <w:r w:rsidR="00356F86">
        <w:t>continue</w:t>
      </w:r>
      <w:r w:rsidR="00841767">
        <w:t xml:space="preserve"> proper neighbor cell measurements. </w:t>
      </w:r>
    </w:p>
    <w:p w14:paraId="06B3E58A" w14:textId="538BFD9E" w:rsidR="001450ED" w:rsidRPr="00CD5EAD" w:rsidRDefault="00D54839" w:rsidP="004D2FF9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CD5EAD">
        <w:rPr>
          <w:b/>
          <w:bCs/>
        </w:rPr>
        <w:lastRenderedPageBreak/>
        <w:t xml:space="preserve">Observation 3. </w:t>
      </w:r>
      <w:r w:rsidRPr="00CD5EAD">
        <w:rPr>
          <w:b/>
          <w:bCs/>
        </w:rPr>
        <w:tab/>
        <w:t xml:space="preserve">In addition to servingCellMO, some MOs also need to </w:t>
      </w:r>
      <w:r w:rsidR="00D40AA1" w:rsidRPr="00CD5EAD">
        <w:rPr>
          <w:b/>
          <w:bCs/>
        </w:rPr>
        <w:t>be updated</w:t>
      </w:r>
      <w:r w:rsidRPr="00CD5EAD">
        <w:rPr>
          <w:b/>
          <w:bCs/>
        </w:rPr>
        <w:t xml:space="preserve"> </w:t>
      </w:r>
      <w:r w:rsidR="0001243F" w:rsidRPr="00CD5EAD">
        <w:rPr>
          <w:b/>
          <w:bCs/>
        </w:rPr>
        <w:t xml:space="preserve">together </w:t>
      </w:r>
      <w:r w:rsidRPr="00CD5EAD">
        <w:rPr>
          <w:b/>
          <w:bCs/>
        </w:rPr>
        <w:t>with UE’s BWP</w:t>
      </w:r>
      <w:r w:rsidR="0001243F" w:rsidRPr="00CD5EAD">
        <w:rPr>
          <w:b/>
          <w:bCs/>
        </w:rPr>
        <w:t xml:space="preserve"> switch,</w:t>
      </w:r>
      <w:r w:rsidRPr="00CD5EAD">
        <w:rPr>
          <w:b/>
          <w:bCs/>
        </w:rPr>
        <w:t xml:space="preserve"> in order to </w:t>
      </w:r>
      <w:r w:rsidR="00C417C6">
        <w:rPr>
          <w:b/>
          <w:bCs/>
        </w:rPr>
        <w:t>continue</w:t>
      </w:r>
      <w:r w:rsidRPr="00CD5EAD">
        <w:rPr>
          <w:b/>
          <w:bCs/>
        </w:rPr>
        <w:t xml:space="preserve"> proper neighbor cell measurements.</w:t>
      </w:r>
    </w:p>
    <w:p w14:paraId="68A90323" w14:textId="1E83D041" w:rsidR="00D40AA1" w:rsidRDefault="00DD7A26" w:rsidP="00B60435">
      <w:pPr>
        <w:pStyle w:val="0Maintext"/>
        <w:tabs>
          <w:tab w:val="left" w:pos="0"/>
        </w:tabs>
        <w:spacing w:after="0" w:afterAutospacing="0" w:line="240" w:lineRule="auto"/>
        <w:ind w:left="0" w:firstLine="0"/>
        <w:jc w:val="left"/>
      </w:pPr>
      <w:r>
        <w:t xml:space="preserve">We think </w:t>
      </w:r>
      <w:r w:rsidR="00B76AAC">
        <w:t xml:space="preserve">the selection of </w:t>
      </w:r>
      <w:r>
        <w:t xml:space="preserve">such MOs can be determined by network. </w:t>
      </w:r>
      <w:r w:rsidR="00B76AAC">
        <w:t xml:space="preserve">And </w:t>
      </w:r>
      <w:r w:rsidR="00C417C6">
        <w:t xml:space="preserve">the signaling can be done in the same </w:t>
      </w:r>
      <w:r w:rsidR="00761330">
        <w:t xml:space="preserve">manner </w:t>
      </w:r>
      <w:r w:rsidR="00B60435">
        <w:t xml:space="preserve">as the one for servingCellMO, i.e. </w:t>
      </w:r>
      <w:r w:rsidR="00BF3D21">
        <w:t xml:space="preserve">under </w:t>
      </w:r>
      <w:r w:rsidR="00BF3D21" w:rsidRPr="00DA62EA">
        <w:t>BWP-DownlinkDedicated</w:t>
      </w:r>
      <w:r w:rsidR="00BF3D21">
        <w:t xml:space="preserve">, network </w:t>
      </w:r>
      <w:r w:rsidR="00761330">
        <w:t xml:space="preserve">can </w:t>
      </w:r>
      <w:r w:rsidR="00BF3D21">
        <w:t>configure the MO</w:t>
      </w:r>
      <w:r w:rsidR="0099040C">
        <w:t>(</w:t>
      </w:r>
      <w:r w:rsidR="00BF3D21">
        <w:t>s</w:t>
      </w:r>
      <w:r w:rsidR="0099040C">
        <w:t>)</w:t>
      </w:r>
      <w:r w:rsidR="00BF3D21">
        <w:t xml:space="preserve"> whose frequen</w:t>
      </w:r>
      <w:r w:rsidR="0099040C">
        <w:t xml:space="preserve">cy(s) should be changed to </w:t>
      </w:r>
      <w:r w:rsidR="004D46FD">
        <w:t>the same frequency of the servingCellMO in this BWP (if configured).</w:t>
      </w:r>
    </w:p>
    <w:p w14:paraId="68B6486E" w14:textId="4D2BD7FE" w:rsidR="000C0067" w:rsidRDefault="000C0067" w:rsidP="00B60435">
      <w:pPr>
        <w:pStyle w:val="0Maintext"/>
        <w:tabs>
          <w:tab w:val="left" w:pos="0"/>
        </w:tabs>
        <w:spacing w:after="0" w:afterAutospacing="0" w:line="240" w:lineRule="auto"/>
        <w:ind w:left="0" w:firstLine="0"/>
        <w:jc w:val="left"/>
      </w:pPr>
      <w:r>
        <w:t xml:space="preserve">Let us use the example above again to illustrate this idea. </w:t>
      </w:r>
    </w:p>
    <w:p w14:paraId="0FE4E94A" w14:textId="44B4622D" w:rsidR="008C1123" w:rsidRDefault="000C0067" w:rsidP="000C0067">
      <w:pPr>
        <w:pStyle w:val="0Maintext"/>
        <w:numPr>
          <w:ilvl w:val="0"/>
          <w:numId w:val="37"/>
        </w:numPr>
        <w:tabs>
          <w:tab w:val="left" w:pos="0"/>
        </w:tabs>
        <w:spacing w:after="0" w:afterAutospacing="0" w:line="240" w:lineRule="auto"/>
        <w:jc w:val="left"/>
      </w:pPr>
      <w:r>
        <w:t>I</w:t>
      </w:r>
      <w:r w:rsidR="009C2C84">
        <w:t>n Scenario A</w:t>
      </w:r>
      <w:r>
        <w:t>,</w:t>
      </w:r>
      <w:r w:rsidR="009C2C84">
        <w:t xml:space="preserve"> network should configure</w:t>
      </w:r>
      <w:r w:rsidR="00BB642C" w:rsidRPr="00BB642C">
        <w:t xml:space="preserve"> MeasObjectNR</w:t>
      </w:r>
      <w:r w:rsidR="00BB642C">
        <w:t>-r17(</w:t>
      </w:r>
      <w:r w:rsidR="009C2C84">
        <w:t>MO#1</w:t>
      </w:r>
      <w:r w:rsidR="00BB642C">
        <w:t>)</w:t>
      </w:r>
      <w:r w:rsidR="009C2C84">
        <w:t xml:space="preserve"> under </w:t>
      </w:r>
      <w:r>
        <w:t xml:space="preserve">the </w:t>
      </w:r>
      <w:r w:rsidR="009C2C84" w:rsidRPr="00DA62EA">
        <w:t>BWP-DownlinkDedicated</w:t>
      </w:r>
      <w:r>
        <w:t xml:space="preserve"> IE </w:t>
      </w:r>
      <w:r w:rsidR="00BB642C">
        <w:t>of</w:t>
      </w:r>
      <w:r>
        <w:t xml:space="preserve"> BWP#2. Th</w:t>
      </w:r>
      <w:r w:rsidR="00DF3B54">
        <w:t>e</w:t>
      </w:r>
      <w:r>
        <w:t xml:space="preserve"> </w:t>
      </w:r>
      <w:r w:rsidR="00BB642C">
        <w:t xml:space="preserve">presence of this </w:t>
      </w:r>
      <w:r>
        <w:t>configuration</w:t>
      </w:r>
      <w:r w:rsidR="00B0600E">
        <w:t xml:space="preserve">, i.e. </w:t>
      </w:r>
      <w:r w:rsidR="00BB642C" w:rsidRPr="00BB642C">
        <w:t>MeasObjectNR</w:t>
      </w:r>
      <w:r w:rsidR="00BB642C">
        <w:t>-r17(MO#1)</w:t>
      </w:r>
      <w:r w:rsidR="00B0600E">
        <w:t>,</w:t>
      </w:r>
      <w:r>
        <w:t xml:space="preserve"> indicates to UE that </w:t>
      </w:r>
      <w:r w:rsidR="00DF3B54" w:rsidRPr="00DF3B54">
        <w:t>when UE operates in BWP#2</w:t>
      </w:r>
      <w:r w:rsidR="00DF3B54">
        <w:t xml:space="preserve">, </w:t>
      </w:r>
      <w:r>
        <w:t xml:space="preserve">all intra-frequency neighbor cell measurements should be performed on the </w:t>
      </w:r>
      <w:r w:rsidR="00BD29DF">
        <w:t xml:space="preserve">same </w:t>
      </w:r>
      <w:r>
        <w:t xml:space="preserve">frequency </w:t>
      </w:r>
      <w:r w:rsidR="00BD29DF">
        <w:t>as</w:t>
      </w:r>
      <w:r>
        <w:t xml:space="preserve"> </w:t>
      </w:r>
      <w:r w:rsidR="00BD29DF">
        <w:t xml:space="preserve">the current servingCellMO (which </w:t>
      </w:r>
      <w:r w:rsidR="00DF3B54">
        <w:t>i</w:t>
      </w:r>
      <w:r w:rsidR="00BD29DF">
        <w:t>s NCD-SSB)</w:t>
      </w:r>
      <w:r>
        <w:t xml:space="preserve">. </w:t>
      </w:r>
      <w:r w:rsidR="008C1123">
        <w:t xml:space="preserve">But such a configuration of </w:t>
      </w:r>
      <w:r w:rsidR="008C1123" w:rsidRPr="00BB642C">
        <w:t>MeasObjectNR</w:t>
      </w:r>
      <w:r w:rsidR="008C1123">
        <w:t xml:space="preserve">-r17 is not needed </w:t>
      </w:r>
      <w:r w:rsidR="00DF3B54">
        <w:t>for</w:t>
      </w:r>
      <w:r w:rsidR="00BA47A3">
        <w:t xml:space="preserve"> BWP#1, because when UE operates</w:t>
      </w:r>
      <w:r w:rsidR="005F7CBE">
        <w:t xml:space="preserve"> in BWP#1</w:t>
      </w:r>
      <w:r w:rsidR="00A86AAB">
        <w:t xml:space="preserve">, all intra-frequency neighbor cell measurements </w:t>
      </w:r>
      <w:r w:rsidR="004E45C4">
        <w:t xml:space="preserve">(i.e. MO#1) </w:t>
      </w:r>
      <w:r w:rsidR="00A86AAB">
        <w:t xml:space="preserve">are </w:t>
      </w:r>
      <w:r w:rsidR="004E45C4">
        <w:t>already o</w:t>
      </w:r>
      <w:r w:rsidR="00A86AAB">
        <w:t xml:space="preserve">n the </w:t>
      </w:r>
      <w:r w:rsidR="004E45C4">
        <w:t xml:space="preserve">same </w:t>
      </w:r>
      <w:r w:rsidR="00A86AAB">
        <w:t xml:space="preserve">frequency </w:t>
      </w:r>
      <w:r w:rsidR="004E45C4">
        <w:t>as the servingCellMO of BWP</w:t>
      </w:r>
      <w:r w:rsidR="008C1F11">
        <w:t>#1</w:t>
      </w:r>
      <w:r w:rsidR="004E45C4">
        <w:t xml:space="preserve"> (i.e. CD-SSB)</w:t>
      </w:r>
      <w:r w:rsidR="00A86AAB">
        <w:t>.</w:t>
      </w:r>
    </w:p>
    <w:p w14:paraId="41D90AAE" w14:textId="281430CE" w:rsidR="00C02EAF" w:rsidRPr="001F6B3B" w:rsidRDefault="00A86AAB" w:rsidP="001F6B3B">
      <w:pPr>
        <w:pStyle w:val="0Maintext"/>
        <w:numPr>
          <w:ilvl w:val="0"/>
          <w:numId w:val="37"/>
        </w:numPr>
        <w:tabs>
          <w:tab w:val="left" w:pos="0"/>
        </w:tabs>
        <w:spacing w:after="0" w:afterAutospacing="0" w:line="240" w:lineRule="auto"/>
        <w:jc w:val="left"/>
      </w:pPr>
      <w:r>
        <w:t>I</w:t>
      </w:r>
      <w:r w:rsidR="000C0067">
        <w:t xml:space="preserve">n Scenario B, </w:t>
      </w:r>
      <w:r w:rsidRPr="00A86AAB">
        <w:t>network should configure MeasObjectNR-r17(MO#</w:t>
      </w:r>
      <w:r>
        <w:t>2</w:t>
      </w:r>
      <w:r w:rsidRPr="00A86AAB">
        <w:t>) under the BWP-DownlinkDedicated IE of BWP#</w:t>
      </w:r>
      <w:r>
        <w:t>1</w:t>
      </w:r>
      <w:r w:rsidRPr="00A86AAB">
        <w:t xml:space="preserve">. </w:t>
      </w:r>
      <w:r w:rsidR="008C1F11">
        <w:t xml:space="preserve">The presence of this configuration, i.e. </w:t>
      </w:r>
      <w:r w:rsidR="008C1F11" w:rsidRPr="00BB642C">
        <w:t>MeasObjectNR</w:t>
      </w:r>
      <w:r w:rsidR="008C1F11">
        <w:t>-r17(MO#</w:t>
      </w:r>
      <w:r w:rsidR="00701900">
        <w:t>2</w:t>
      </w:r>
      <w:r w:rsidR="008C1F11">
        <w:t xml:space="preserve">), indicates to UE that </w:t>
      </w:r>
      <w:r w:rsidR="008C1F11" w:rsidRPr="00DF3B54">
        <w:t>when UE operates in BWP#2</w:t>
      </w:r>
      <w:r w:rsidR="008C1F11">
        <w:t xml:space="preserve">, all intra-frequency neighbor cell measurements should be performed on the same frequency as the current servingCellMO (which is NCD-SSB). But such a configuration of </w:t>
      </w:r>
      <w:r w:rsidR="008C1F11" w:rsidRPr="00BB642C">
        <w:t>MeasObjectNR</w:t>
      </w:r>
      <w:r w:rsidR="008C1F11">
        <w:t>-r17 is not needed for BWP#</w:t>
      </w:r>
      <w:r w:rsidR="002F1E0B">
        <w:t>2</w:t>
      </w:r>
      <w:r w:rsidR="008C1F11">
        <w:t>, because when UE operates in BWP#</w:t>
      </w:r>
      <w:r w:rsidR="008A66BA">
        <w:t>2</w:t>
      </w:r>
      <w:r w:rsidR="008C1F11">
        <w:t>, all intra-frequency neighbor cell measurements (i.e. MO#</w:t>
      </w:r>
      <w:r w:rsidR="009E3822">
        <w:t>2</w:t>
      </w:r>
      <w:r w:rsidR="008C1F11">
        <w:t>) are already on the same frequency as the servingCellMO of BWP#</w:t>
      </w:r>
      <w:r w:rsidR="001F6B3B">
        <w:t>2</w:t>
      </w:r>
      <w:r w:rsidR="008C1F11">
        <w:t xml:space="preserve"> (i.e. </w:t>
      </w:r>
      <w:r w:rsidR="001F6B3B">
        <w:t>N</w:t>
      </w:r>
      <w:r w:rsidR="008C1F11">
        <w:t>CD-SSB).</w:t>
      </w:r>
    </w:p>
    <w:p w14:paraId="163808FB" w14:textId="33CDE020" w:rsidR="00B252C0" w:rsidRPr="00CD5EAD" w:rsidRDefault="00DA62EA" w:rsidP="004D2FF9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CD5EAD">
        <w:rPr>
          <w:b/>
          <w:bCs/>
        </w:rPr>
        <w:t xml:space="preserve">Proposal </w:t>
      </w:r>
      <w:r w:rsidR="000F18C1" w:rsidRPr="00CD5EAD">
        <w:rPr>
          <w:b/>
          <w:bCs/>
        </w:rPr>
        <w:t>4</w:t>
      </w:r>
      <w:r w:rsidRPr="00CD5EAD">
        <w:rPr>
          <w:b/>
          <w:bCs/>
        </w:rPr>
        <w:t xml:space="preserve">. </w:t>
      </w:r>
      <w:r w:rsidRPr="00CD5EAD">
        <w:rPr>
          <w:b/>
          <w:bCs/>
        </w:rPr>
        <w:tab/>
        <w:t xml:space="preserve">If UE's active DL BWP is configured with a BWP-specific servingCellMO, network </w:t>
      </w:r>
      <w:r w:rsidR="00C63E62">
        <w:rPr>
          <w:b/>
          <w:bCs/>
        </w:rPr>
        <w:t>ca</w:t>
      </w:r>
      <w:r w:rsidR="006D0633">
        <w:rPr>
          <w:b/>
          <w:bCs/>
        </w:rPr>
        <w:t>n</w:t>
      </w:r>
      <w:r w:rsidR="00F51A3D" w:rsidRPr="00CD5EAD">
        <w:rPr>
          <w:b/>
          <w:bCs/>
        </w:rPr>
        <w:t xml:space="preserve"> include</w:t>
      </w:r>
      <w:r w:rsidRPr="00CD5EAD">
        <w:rPr>
          <w:b/>
          <w:bCs/>
        </w:rPr>
        <w:t xml:space="preserve"> </w:t>
      </w:r>
      <w:r w:rsidR="009F7786" w:rsidRPr="00CD5EAD">
        <w:rPr>
          <w:b/>
          <w:bCs/>
        </w:rPr>
        <w:t xml:space="preserve">in the BWP-DownlinkDedicated IE </w:t>
      </w:r>
      <w:r w:rsidR="00F51A3D" w:rsidRPr="00CD5EAD">
        <w:rPr>
          <w:b/>
          <w:bCs/>
        </w:rPr>
        <w:t>th</w:t>
      </w:r>
      <w:r w:rsidR="00F9392F" w:rsidRPr="00CD5EAD">
        <w:rPr>
          <w:b/>
          <w:bCs/>
        </w:rPr>
        <w:t xml:space="preserve">e </w:t>
      </w:r>
      <w:r w:rsidR="00DF7145" w:rsidRPr="00CD5EAD">
        <w:rPr>
          <w:b/>
          <w:bCs/>
        </w:rPr>
        <w:t>measurement object</w:t>
      </w:r>
      <w:r w:rsidR="00F35BAD" w:rsidRPr="00CD5EAD">
        <w:rPr>
          <w:b/>
          <w:bCs/>
        </w:rPr>
        <w:t>(s)</w:t>
      </w:r>
      <w:r w:rsidRPr="00CD5EAD">
        <w:rPr>
          <w:b/>
          <w:bCs/>
        </w:rPr>
        <w:t xml:space="preserve"> </w:t>
      </w:r>
      <w:r w:rsidR="00DF7145" w:rsidRPr="00CD5EAD">
        <w:rPr>
          <w:b/>
          <w:bCs/>
        </w:rPr>
        <w:t>whose frequency(s) should be changed to the frequency of the servingCellMO in this BWP.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A462AD" w:rsidR="00942D9D" w:rsidRDefault="009B761C" w:rsidP="00670FEF">
      <w:pPr>
        <w:snapToGrid w:val="0"/>
        <w:spacing w:before="0" w:after="18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76F9508A" w14:textId="77777777" w:rsidR="00D657A0" w:rsidRPr="00D53CA7" w:rsidRDefault="00D657A0" w:rsidP="00D657A0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D53CA7">
        <w:rPr>
          <w:b/>
          <w:bCs/>
        </w:rPr>
        <w:t xml:space="preserve">Observation </w:t>
      </w:r>
      <w:r>
        <w:rPr>
          <w:b/>
          <w:bCs/>
        </w:rPr>
        <w:t>1</w:t>
      </w:r>
      <w:r w:rsidRPr="00D53CA7">
        <w:rPr>
          <w:b/>
          <w:bCs/>
        </w:rPr>
        <w:t>.</w:t>
      </w:r>
      <w:r w:rsidRPr="00D53CA7">
        <w:rPr>
          <w:b/>
          <w:bCs/>
        </w:rPr>
        <w:tab/>
        <w:t xml:space="preserve">The SSB used in the definition of intra- and inter-frequency measurements </w:t>
      </w:r>
      <w:r>
        <w:rPr>
          <w:b/>
          <w:bCs/>
        </w:rPr>
        <w:t>should be</w:t>
      </w:r>
      <w:r w:rsidRPr="00D53CA7">
        <w:rPr>
          <w:b/>
          <w:bCs/>
        </w:rPr>
        <w:t xml:space="preserve"> the one used by UE for its serving cell measurements.</w:t>
      </w:r>
    </w:p>
    <w:p w14:paraId="1F4A62F5" w14:textId="18421012" w:rsidR="00D657A0" w:rsidRDefault="00D657A0" w:rsidP="00D657A0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D53CA7">
        <w:rPr>
          <w:b/>
          <w:bCs/>
        </w:rPr>
        <w:t xml:space="preserve">Proposal </w:t>
      </w:r>
      <w:r>
        <w:rPr>
          <w:b/>
          <w:bCs/>
        </w:rPr>
        <w:t>1</w:t>
      </w:r>
      <w:r w:rsidRPr="00D53CA7">
        <w:rPr>
          <w:b/>
          <w:bCs/>
        </w:rPr>
        <w:t>.</w:t>
      </w:r>
      <w:r w:rsidRPr="00D53CA7">
        <w:rPr>
          <w:b/>
          <w:bCs/>
        </w:rPr>
        <w:tab/>
      </w:r>
      <w:r>
        <w:rPr>
          <w:b/>
          <w:bCs/>
        </w:rPr>
        <w:t xml:space="preserve">Update the definition of </w:t>
      </w:r>
      <w:r w:rsidRPr="00D53CA7">
        <w:rPr>
          <w:b/>
          <w:bCs/>
        </w:rPr>
        <w:t xml:space="preserve">intra-frequency </w:t>
      </w:r>
      <w:r>
        <w:rPr>
          <w:b/>
          <w:bCs/>
        </w:rPr>
        <w:t xml:space="preserve">and inter-frequency </w:t>
      </w:r>
      <w:r w:rsidRPr="00D53CA7">
        <w:rPr>
          <w:b/>
          <w:bCs/>
        </w:rPr>
        <w:t>measurement</w:t>
      </w:r>
      <w:r>
        <w:rPr>
          <w:b/>
          <w:bCs/>
        </w:rPr>
        <w:t>s</w:t>
      </w:r>
      <w:r w:rsidRPr="00D53CA7">
        <w:rPr>
          <w:b/>
          <w:bCs/>
        </w:rPr>
        <w:t xml:space="preserve"> </w:t>
      </w:r>
      <w:r>
        <w:rPr>
          <w:b/>
          <w:bCs/>
        </w:rPr>
        <w:t>in the stage-2 spec that they are with respect to</w:t>
      </w:r>
      <w:r w:rsidRPr="00D53CA7">
        <w:rPr>
          <w:b/>
          <w:bCs/>
        </w:rPr>
        <w:t xml:space="preserve"> the SSB in </w:t>
      </w:r>
      <w:r>
        <w:rPr>
          <w:b/>
          <w:bCs/>
        </w:rPr>
        <w:t>the</w:t>
      </w:r>
      <w:r w:rsidRPr="00D53CA7">
        <w:rPr>
          <w:b/>
          <w:bCs/>
        </w:rPr>
        <w:t xml:space="preserve"> servingCellMO used </w:t>
      </w:r>
      <w:r>
        <w:rPr>
          <w:b/>
          <w:bCs/>
        </w:rPr>
        <w:t xml:space="preserve">by UE </w:t>
      </w:r>
      <w:r w:rsidRPr="00D53CA7">
        <w:rPr>
          <w:b/>
          <w:bCs/>
        </w:rPr>
        <w:t>in its active BWP</w:t>
      </w:r>
      <w:r>
        <w:rPr>
          <w:b/>
          <w:bCs/>
        </w:rPr>
        <w:t>.</w:t>
      </w:r>
    </w:p>
    <w:p w14:paraId="5D30987B" w14:textId="77777777" w:rsidR="00D657A0" w:rsidRPr="001264E1" w:rsidRDefault="00D657A0" w:rsidP="00D657A0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1264E1">
        <w:rPr>
          <w:b/>
          <w:bCs/>
        </w:rPr>
        <w:t xml:space="preserve">Observation </w:t>
      </w:r>
      <w:r>
        <w:rPr>
          <w:b/>
          <w:bCs/>
        </w:rPr>
        <w:t>2</w:t>
      </w:r>
      <w:r w:rsidRPr="001264E1">
        <w:rPr>
          <w:b/>
          <w:bCs/>
        </w:rPr>
        <w:t>.</w:t>
      </w:r>
      <w:r w:rsidRPr="001264E1">
        <w:rPr>
          <w:b/>
          <w:bCs/>
        </w:rPr>
        <w:tab/>
      </w:r>
      <w:r>
        <w:rPr>
          <w:b/>
          <w:bCs/>
        </w:rPr>
        <w:t xml:space="preserve">Network either has to reconfigure </w:t>
      </w:r>
      <w:r w:rsidRPr="001264E1">
        <w:rPr>
          <w:b/>
          <w:bCs/>
        </w:rPr>
        <w:t xml:space="preserve">servingCellMO </w:t>
      </w:r>
      <w:r>
        <w:rPr>
          <w:b/>
          <w:bCs/>
        </w:rPr>
        <w:t xml:space="preserve">or configure measurement gaps for serving cell measurements </w:t>
      </w:r>
      <w:r w:rsidRPr="001264E1">
        <w:rPr>
          <w:b/>
          <w:bCs/>
        </w:rPr>
        <w:t>after a BWP switch, if the source and target BWPs are configured with different SSBs.</w:t>
      </w:r>
    </w:p>
    <w:p w14:paraId="2AD6045E" w14:textId="77777777" w:rsidR="00D657A0" w:rsidRPr="00CB51A8" w:rsidRDefault="00D657A0" w:rsidP="00D657A0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CB51A8">
        <w:rPr>
          <w:b/>
          <w:bCs/>
        </w:rPr>
        <w:t xml:space="preserve">Proposal </w:t>
      </w:r>
      <w:r>
        <w:rPr>
          <w:b/>
          <w:bCs/>
        </w:rPr>
        <w:t>2</w:t>
      </w:r>
      <w:r w:rsidRPr="00CB51A8">
        <w:rPr>
          <w:b/>
          <w:bCs/>
        </w:rPr>
        <w:t xml:space="preserve">. </w:t>
      </w:r>
      <w:r w:rsidRPr="00CB51A8">
        <w:rPr>
          <w:b/>
          <w:bCs/>
        </w:rPr>
        <w:tab/>
        <w:t xml:space="preserve">Network can optionally configure a BWP-specific servingCellMO </w:t>
      </w:r>
      <w:r>
        <w:rPr>
          <w:b/>
          <w:bCs/>
        </w:rPr>
        <w:t>under</w:t>
      </w:r>
      <w:r w:rsidRPr="00CB51A8">
        <w:rPr>
          <w:b/>
          <w:bCs/>
        </w:rPr>
        <w:t xml:space="preserve"> BWP-DownlinkDedicated IE, </w:t>
      </w:r>
      <w:r>
        <w:rPr>
          <w:b/>
          <w:bCs/>
        </w:rPr>
        <w:t xml:space="preserve">if this BWP contains a SSB different from the one in </w:t>
      </w:r>
      <w:r w:rsidRPr="00CB51A8">
        <w:rPr>
          <w:b/>
          <w:bCs/>
        </w:rPr>
        <w:t xml:space="preserve">the default servingCellMO </w:t>
      </w:r>
      <w:r>
        <w:rPr>
          <w:b/>
          <w:bCs/>
        </w:rPr>
        <w:t>under</w:t>
      </w:r>
      <w:r w:rsidRPr="00CB51A8">
        <w:rPr>
          <w:b/>
          <w:bCs/>
        </w:rPr>
        <w:t xml:space="preserve"> ServingCellConfig IE.</w:t>
      </w:r>
    </w:p>
    <w:p w14:paraId="6F7248A3" w14:textId="77777777" w:rsidR="00D657A0" w:rsidRPr="00CB51A8" w:rsidRDefault="00D657A0" w:rsidP="00D657A0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CB51A8">
        <w:rPr>
          <w:b/>
          <w:bCs/>
        </w:rPr>
        <w:t xml:space="preserve">Proposal </w:t>
      </w:r>
      <w:r>
        <w:rPr>
          <w:b/>
          <w:bCs/>
        </w:rPr>
        <w:t>3</w:t>
      </w:r>
      <w:r w:rsidRPr="00CB51A8">
        <w:rPr>
          <w:b/>
          <w:bCs/>
        </w:rPr>
        <w:t xml:space="preserve">. </w:t>
      </w:r>
      <w:r w:rsidRPr="00CB51A8">
        <w:rPr>
          <w:b/>
          <w:bCs/>
        </w:rPr>
        <w:tab/>
      </w:r>
      <w:r>
        <w:rPr>
          <w:b/>
          <w:bCs/>
        </w:rPr>
        <w:t>When</w:t>
      </w:r>
      <w:r w:rsidRPr="00CB51A8">
        <w:rPr>
          <w:b/>
          <w:bCs/>
        </w:rPr>
        <w:t xml:space="preserve"> UE is in a BWP </w:t>
      </w:r>
      <w:r>
        <w:rPr>
          <w:b/>
          <w:bCs/>
        </w:rPr>
        <w:t>which</w:t>
      </w:r>
      <w:r w:rsidRPr="00CB51A8">
        <w:rPr>
          <w:b/>
          <w:bCs/>
        </w:rPr>
        <w:t xml:space="preserve"> is configured with a dedicated servingCellMO, </w:t>
      </w:r>
      <w:r>
        <w:rPr>
          <w:b/>
          <w:bCs/>
        </w:rPr>
        <w:t>it</w:t>
      </w:r>
      <w:r w:rsidRPr="00CB51A8">
        <w:rPr>
          <w:b/>
          <w:bCs/>
        </w:rPr>
        <w:t xml:space="preserve"> shall perform its serving cell measurements according to </w:t>
      </w:r>
      <w:r>
        <w:rPr>
          <w:b/>
          <w:bCs/>
        </w:rPr>
        <w:t>the</w:t>
      </w:r>
      <w:r w:rsidRPr="00CB51A8">
        <w:rPr>
          <w:b/>
          <w:bCs/>
        </w:rPr>
        <w:t xml:space="preserve"> dedicated servingCellMO, instead of the default servingCellMO </w:t>
      </w:r>
      <w:r>
        <w:rPr>
          <w:b/>
          <w:bCs/>
        </w:rPr>
        <w:t xml:space="preserve">configured </w:t>
      </w:r>
      <w:r w:rsidRPr="00CB51A8">
        <w:rPr>
          <w:b/>
          <w:bCs/>
        </w:rPr>
        <w:t>under ServingCellConfig</w:t>
      </w:r>
      <w:r>
        <w:rPr>
          <w:b/>
          <w:bCs/>
        </w:rPr>
        <w:t xml:space="preserve"> IE</w:t>
      </w:r>
      <w:r w:rsidRPr="00CB51A8">
        <w:rPr>
          <w:b/>
          <w:bCs/>
        </w:rPr>
        <w:t xml:space="preserve">. </w:t>
      </w:r>
    </w:p>
    <w:p w14:paraId="7651965F" w14:textId="77777777" w:rsidR="00D657A0" w:rsidRPr="00CD5EAD" w:rsidRDefault="00D657A0" w:rsidP="00D657A0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CD5EAD">
        <w:rPr>
          <w:b/>
          <w:bCs/>
        </w:rPr>
        <w:t xml:space="preserve">Observation 3. </w:t>
      </w:r>
      <w:r w:rsidRPr="00CD5EAD">
        <w:rPr>
          <w:b/>
          <w:bCs/>
        </w:rPr>
        <w:tab/>
        <w:t xml:space="preserve">In addition to servingCellMO, some MOs also need to be updated together with UE’s BWP switch, in order to </w:t>
      </w:r>
      <w:r>
        <w:rPr>
          <w:b/>
          <w:bCs/>
        </w:rPr>
        <w:t>continue</w:t>
      </w:r>
      <w:r w:rsidRPr="00CD5EAD">
        <w:rPr>
          <w:b/>
          <w:bCs/>
        </w:rPr>
        <w:t xml:space="preserve"> proper neighbor cell measurements.</w:t>
      </w:r>
    </w:p>
    <w:p w14:paraId="396F3B09" w14:textId="2DE3C58B" w:rsidR="00D657A0" w:rsidRPr="00D53CA7" w:rsidRDefault="00D657A0" w:rsidP="00D657A0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CD5EAD">
        <w:rPr>
          <w:b/>
          <w:bCs/>
        </w:rPr>
        <w:t xml:space="preserve">Proposal 4. </w:t>
      </w:r>
      <w:r w:rsidRPr="00CD5EAD">
        <w:rPr>
          <w:b/>
          <w:bCs/>
        </w:rPr>
        <w:tab/>
        <w:t xml:space="preserve">If UE's active DL BWP is configured with a BWP-specific servingCellMO, network </w:t>
      </w:r>
      <w:r>
        <w:rPr>
          <w:b/>
          <w:bCs/>
        </w:rPr>
        <w:t>can</w:t>
      </w:r>
      <w:r w:rsidRPr="00CD5EAD">
        <w:rPr>
          <w:b/>
          <w:bCs/>
        </w:rPr>
        <w:t xml:space="preserve"> include in the BWP-DownlinkDedicated IE the measurement object(s) whose frequency(s) should be changed to the frequency of the servingCellMO in this BWP.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3663D5AD" w14:textId="46329FCF" w:rsidR="007D0D4A" w:rsidRDefault="004B713E" w:rsidP="004C608E">
      <w:pPr>
        <w:numPr>
          <w:ilvl w:val="0"/>
          <w:numId w:val="3"/>
        </w:numPr>
        <w:rPr>
          <w:lang w:eastAsia="ja-JP"/>
        </w:rPr>
      </w:pPr>
      <w:r w:rsidRPr="00850105">
        <w:rPr>
          <w:lang w:val="en-GB"/>
        </w:rPr>
        <w:t>R2-2203512</w:t>
      </w:r>
      <w:r w:rsidR="00454E1F">
        <w:t xml:space="preserve">, </w:t>
      </w:r>
      <w:r w:rsidR="00C95782" w:rsidRPr="00C95782">
        <w:t>Report from Break-out session on R17 NTN, REDCAP and CE</w:t>
      </w:r>
      <w:r w:rsidR="00C95782">
        <w:t>, March 2022.</w:t>
      </w:r>
    </w:p>
    <w:sectPr w:rsidR="007D0D4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C5608" w14:textId="77777777" w:rsidR="00FE28F5" w:rsidRDefault="00FE28F5">
      <w:r>
        <w:separator/>
      </w:r>
    </w:p>
    <w:p w14:paraId="101D3C5D" w14:textId="77777777" w:rsidR="00FE28F5" w:rsidRDefault="00FE28F5"/>
  </w:endnote>
  <w:endnote w:type="continuationSeparator" w:id="0">
    <w:p w14:paraId="67B4D4D4" w14:textId="77777777" w:rsidR="00FE28F5" w:rsidRDefault="00FE28F5">
      <w:r>
        <w:continuationSeparator/>
      </w:r>
    </w:p>
    <w:p w14:paraId="1F55C267" w14:textId="77777777" w:rsidR="00FE28F5" w:rsidRDefault="00FE28F5"/>
  </w:endnote>
  <w:endnote w:type="continuationNotice" w:id="1">
    <w:p w14:paraId="4B7E3DCB" w14:textId="77777777" w:rsidR="00FE28F5" w:rsidRDefault="00FE28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8BE77" w14:textId="77777777" w:rsidR="00FE28F5" w:rsidRDefault="00FE28F5">
      <w:r>
        <w:separator/>
      </w:r>
    </w:p>
    <w:p w14:paraId="6BFFCE78" w14:textId="77777777" w:rsidR="00FE28F5" w:rsidRDefault="00FE28F5"/>
  </w:footnote>
  <w:footnote w:type="continuationSeparator" w:id="0">
    <w:p w14:paraId="63F9FAC1" w14:textId="77777777" w:rsidR="00FE28F5" w:rsidRDefault="00FE28F5">
      <w:r>
        <w:continuationSeparator/>
      </w:r>
    </w:p>
    <w:p w14:paraId="0815BD58" w14:textId="77777777" w:rsidR="00FE28F5" w:rsidRDefault="00FE28F5"/>
  </w:footnote>
  <w:footnote w:type="continuationNotice" w:id="1">
    <w:p w14:paraId="364466E5" w14:textId="77777777" w:rsidR="00FE28F5" w:rsidRDefault="00FE28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04B7B"/>
    <w:multiLevelType w:val="hybridMultilevel"/>
    <w:tmpl w:val="FB08F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F1215"/>
    <w:multiLevelType w:val="hybridMultilevel"/>
    <w:tmpl w:val="BC185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06233"/>
    <w:multiLevelType w:val="hybridMultilevel"/>
    <w:tmpl w:val="E70AFB9A"/>
    <w:lvl w:ilvl="0" w:tplc="C2FE1B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6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493CAB"/>
    <w:multiLevelType w:val="hybridMultilevel"/>
    <w:tmpl w:val="4C20D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9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2"/>
  </w:num>
  <w:num w:numId="3">
    <w:abstractNumId w:val="13"/>
  </w:num>
  <w:num w:numId="4">
    <w:abstractNumId w:val="24"/>
  </w:num>
  <w:num w:numId="5">
    <w:abstractNumId w:val="3"/>
  </w:num>
  <w:num w:numId="6">
    <w:abstractNumId w:val="7"/>
  </w:num>
  <w:num w:numId="7">
    <w:abstractNumId w:val="30"/>
  </w:num>
  <w:num w:numId="8">
    <w:abstractNumId w:val="23"/>
  </w:num>
  <w:num w:numId="9">
    <w:abstractNumId w:val="9"/>
  </w:num>
  <w:num w:numId="10">
    <w:abstractNumId w:val="4"/>
  </w:num>
  <w:num w:numId="11">
    <w:abstractNumId w:val="31"/>
  </w:num>
  <w:num w:numId="12">
    <w:abstractNumId w:val="12"/>
  </w:num>
  <w:num w:numId="13">
    <w:abstractNumId w:val="21"/>
  </w:num>
  <w:num w:numId="14">
    <w:abstractNumId w:val="29"/>
  </w:num>
  <w:num w:numId="15">
    <w:abstractNumId w:val="10"/>
  </w:num>
  <w:num w:numId="16">
    <w:abstractNumId w:val="20"/>
  </w:num>
  <w:num w:numId="17">
    <w:abstractNumId w:val="18"/>
  </w:num>
  <w:num w:numId="18">
    <w:abstractNumId w:val="22"/>
  </w:num>
  <w:num w:numId="19">
    <w:abstractNumId w:val="1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8"/>
  </w:num>
  <w:num w:numId="23">
    <w:abstractNumId w:val="26"/>
  </w:num>
  <w:num w:numId="24">
    <w:abstractNumId w:val="14"/>
  </w:num>
  <w:num w:numId="25">
    <w:abstractNumId w:val="2"/>
  </w:num>
  <w:num w:numId="26">
    <w:abstractNumId w:val="35"/>
  </w:num>
  <w:num w:numId="27">
    <w:abstractNumId w:val="19"/>
  </w:num>
  <w:num w:numId="28">
    <w:abstractNumId w:val="1"/>
  </w:num>
  <w:num w:numId="29">
    <w:abstractNumId w:val="34"/>
  </w:num>
  <w:num w:numId="30">
    <w:abstractNumId w:val="6"/>
  </w:num>
  <w:num w:numId="31">
    <w:abstractNumId w:val="28"/>
  </w:num>
  <w:num w:numId="32">
    <w:abstractNumId w:val="25"/>
  </w:num>
  <w:num w:numId="33">
    <w:abstractNumId w:val="5"/>
  </w:num>
  <w:num w:numId="34">
    <w:abstractNumId w:val="16"/>
  </w:num>
  <w:num w:numId="35">
    <w:abstractNumId w:val="0"/>
  </w:num>
  <w:num w:numId="36">
    <w:abstractNumId w:val="27"/>
  </w:num>
  <w:num w:numId="37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109F9"/>
    <w:rsid w:val="00011393"/>
    <w:rsid w:val="00011F72"/>
    <w:rsid w:val="0001243F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53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5696"/>
    <w:rsid w:val="000456D6"/>
    <w:rsid w:val="00045CFA"/>
    <w:rsid w:val="0004779A"/>
    <w:rsid w:val="00050EF3"/>
    <w:rsid w:val="000510B6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984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2C48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59A3"/>
    <w:rsid w:val="000A6089"/>
    <w:rsid w:val="000A6D27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067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481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56C"/>
    <w:rsid w:val="000D6B4C"/>
    <w:rsid w:val="000D6B55"/>
    <w:rsid w:val="000D7C08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18C1"/>
    <w:rsid w:val="000F24A4"/>
    <w:rsid w:val="000F310A"/>
    <w:rsid w:val="000F39D2"/>
    <w:rsid w:val="000F3B7B"/>
    <w:rsid w:val="000F446E"/>
    <w:rsid w:val="000F4ADC"/>
    <w:rsid w:val="000F5474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119B"/>
    <w:rsid w:val="0012163A"/>
    <w:rsid w:val="0012176A"/>
    <w:rsid w:val="00121AF3"/>
    <w:rsid w:val="00123AEE"/>
    <w:rsid w:val="00123F8E"/>
    <w:rsid w:val="00124ED7"/>
    <w:rsid w:val="001250BC"/>
    <w:rsid w:val="00125810"/>
    <w:rsid w:val="00125E41"/>
    <w:rsid w:val="00126222"/>
    <w:rsid w:val="001264E1"/>
    <w:rsid w:val="00126BD6"/>
    <w:rsid w:val="0012724D"/>
    <w:rsid w:val="00127463"/>
    <w:rsid w:val="00127E35"/>
    <w:rsid w:val="00130E7D"/>
    <w:rsid w:val="00130F9D"/>
    <w:rsid w:val="00132447"/>
    <w:rsid w:val="00132C80"/>
    <w:rsid w:val="0013334E"/>
    <w:rsid w:val="001347AE"/>
    <w:rsid w:val="001349BE"/>
    <w:rsid w:val="00134E73"/>
    <w:rsid w:val="00134FF7"/>
    <w:rsid w:val="00135175"/>
    <w:rsid w:val="00137115"/>
    <w:rsid w:val="0013715F"/>
    <w:rsid w:val="00137A78"/>
    <w:rsid w:val="00140136"/>
    <w:rsid w:val="00140CBD"/>
    <w:rsid w:val="0014394C"/>
    <w:rsid w:val="0014411C"/>
    <w:rsid w:val="00144393"/>
    <w:rsid w:val="0014472B"/>
    <w:rsid w:val="001450ED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2075"/>
    <w:rsid w:val="00152585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3EBA"/>
    <w:rsid w:val="001649DE"/>
    <w:rsid w:val="001649F2"/>
    <w:rsid w:val="00164CCC"/>
    <w:rsid w:val="0016515B"/>
    <w:rsid w:val="001654E2"/>
    <w:rsid w:val="00165C3F"/>
    <w:rsid w:val="00165E3A"/>
    <w:rsid w:val="0016629D"/>
    <w:rsid w:val="00166560"/>
    <w:rsid w:val="00167524"/>
    <w:rsid w:val="0016779B"/>
    <w:rsid w:val="00170A65"/>
    <w:rsid w:val="00170CE7"/>
    <w:rsid w:val="00171382"/>
    <w:rsid w:val="00171F8B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6C20"/>
    <w:rsid w:val="0018755D"/>
    <w:rsid w:val="0018761A"/>
    <w:rsid w:val="00187B31"/>
    <w:rsid w:val="00187B63"/>
    <w:rsid w:val="00187C49"/>
    <w:rsid w:val="00187D01"/>
    <w:rsid w:val="00187F9D"/>
    <w:rsid w:val="0019123C"/>
    <w:rsid w:val="00192635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2D1"/>
    <w:rsid w:val="001C0343"/>
    <w:rsid w:val="001C1215"/>
    <w:rsid w:val="001C1FBB"/>
    <w:rsid w:val="001C28D1"/>
    <w:rsid w:val="001C2A41"/>
    <w:rsid w:val="001C2C49"/>
    <w:rsid w:val="001C330F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1FB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6B3B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3FE8"/>
    <w:rsid w:val="002148B4"/>
    <w:rsid w:val="00215936"/>
    <w:rsid w:val="00215D8D"/>
    <w:rsid w:val="00217195"/>
    <w:rsid w:val="0021750A"/>
    <w:rsid w:val="00217D2F"/>
    <w:rsid w:val="00220202"/>
    <w:rsid w:val="00220BA4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148C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D18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AC"/>
    <w:rsid w:val="002514F0"/>
    <w:rsid w:val="002521C2"/>
    <w:rsid w:val="00252497"/>
    <w:rsid w:val="002524A8"/>
    <w:rsid w:val="00252518"/>
    <w:rsid w:val="00252CDB"/>
    <w:rsid w:val="00253ACC"/>
    <w:rsid w:val="00253B96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4B7"/>
    <w:rsid w:val="002626A0"/>
    <w:rsid w:val="00262B04"/>
    <w:rsid w:val="00262F4C"/>
    <w:rsid w:val="00263165"/>
    <w:rsid w:val="002631B3"/>
    <w:rsid w:val="002631F9"/>
    <w:rsid w:val="002644C4"/>
    <w:rsid w:val="00264ADD"/>
    <w:rsid w:val="00264CA5"/>
    <w:rsid w:val="00265F68"/>
    <w:rsid w:val="00265F72"/>
    <w:rsid w:val="0026661F"/>
    <w:rsid w:val="002668E6"/>
    <w:rsid w:val="0026722A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1664"/>
    <w:rsid w:val="00282FA7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3F3D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41DA"/>
    <w:rsid w:val="002B4AE9"/>
    <w:rsid w:val="002B4DA5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49B8"/>
    <w:rsid w:val="002E5E9B"/>
    <w:rsid w:val="002F08B7"/>
    <w:rsid w:val="002F0B16"/>
    <w:rsid w:val="002F14C6"/>
    <w:rsid w:val="002F1B01"/>
    <w:rsid w:val="002F1B15"/>
    <w:rsid w:val="002F1E0B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3769F"/>
    <w:rsid w:val="003409A7"/>
    <w:rsid w:val="0034128E"/>
    <w:rsid w:val="00341756"/>
    <w:rsid w:val="00341812"/>
    <w:rsid w:val="00341E84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6F86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D02"/>
    <w:rsid w:val="00382FE0"/>
    <w:rsid w:val="00382FEF"/>
    <w:rsid w:val="003830AC"/>
    <w:rsid w:val="00383F56"/>
    <w:rsid w:val="003840F1"/>
    <w:rsid w:val="0038476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96F"/>
    <w:rsid w:val="003C0DBC"/>
    <w:rsid w:val="003C140E"/>
    <w:rsid w:val="003C1967"/>
    <w:rsid w:val="003C1A2D"/>
    <w:rsid w:val="003C1DC6"/>
    <w:rsid w:val="003C1E65"/>
    <w:rsid w:val="003C215D"/>
    <w:rsid w:val="003C249A"/>
    <w:rsid w:val="003C4AC5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2E7E"/>
    <w:rsid w:val="003D3095"/>
    <w:rsid w:val="003D46B6"/>
    <w:rsid w:val="003D47E5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09EA"/>
    <w:rsid w:val="003F2581"/>
    <w:rsid w:val="003F2EA2"/>
    <w:rsid w:val="003F30F0"/>
    <w:rsid w:val="003F32B4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2DFC"/>
    <w:rsid w:val="0041355A"/>
    <w:rsid w:val="004137A2"/>
    <w:rsid w:val="00413E2B"/>
    <w:rsid w:val="004140A8"/>
    <w:rsid w:val="004148E6"/>
    <w:rsid w:val="0041549A"/>
    <w:rsid w:val="00415A07"/>
    <w:rsid w:val="00416020"/>
    <w:rsid w:val="004160DA"/>
    <w:rsid w:val="0041710B"/>
    <w:rsid w:val="004176EC"/>
    <w:rsid w:val="0042207B"/>
    <w:rsid w:val="0042333A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21A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D60"/>
    <w:rsid w:val="004406E6"/>
    <w:rsid w:val="00440D27"/>
    <w:rsid w:val="00440E8D"/>
    <w:rsid w:val="0044113C"/>
    <w:rsid w:val="004413E5"/>
    <w:rsid w:val="00441902"/>
    <w:rsid w:val="00441C6C"/>
    <w:rsid w:val="0044210D"/>
    <w:rsid w:val="004429EE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4E1F"/>
    <w:rsid w:val="00454EB7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220A"/>
    <w:rsid w:val="004625AE"/>
    <w:rsid w:val="004628B9"/>
    <w:rsid w:val="00462D1D"/>
    <w:rsid w:val="00463225"/>
    <w:rsid w:val="004678DF"/>
    <w:rsid w:val="00467B1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43C"/>
    <w:rsid w:val="00476667"/>
    <w:rsid w:val="00480015"/>
    <w:rsid w:val="0048020D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87933"/>
    <w:rsid w:val="004905B5"/>
    <w:rsid w:val="00490929"/>
    <w:rsid w:val="00490AA7"/>
    <w:rsid w:val="00490CD8"/>
    <w:rsid w:val="004914F1"/>
    <w:rsid w:val="00492CA5"/>
    <w:rsid w:val="00492D91"/>
    <w:rsid w:val="004934BA"/>
    <w:rsid w:val="00494162"/>
    <w:rsid w:val="00494BBD"/>
    <w:rsid w:val="00495593"/>
    <w:rsid w:val="00495A15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0BC"/>
    <w:rsid w:val="004B4482"/>
    <w:rsid w:val="004B49BF"/>
    <w:rsid w:val="004B58C2"/>
    <w:rsid w:val="004B5CCC"/>
    <w:rsid w:val="004B63A5"/>
    <w:rsid w:val="004B713E"/>
    <w:rsid w:val="004B7893"/>
    <w:rsid w:val="004C0033"/>
    <w:rsid w:val="004C14B6"/>
    <w:rsid w:val="004C1FE5"/>
    <w:rsid w:val="004C2D20"/>
    <w:rsid w:val="004C364B"/>
    <w:rsid w:val="004C5244"/>
    <w:rsid w:val="004C608E"/>
    <w:rsid w:val="004C6542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2FF9"/>
    <w:rsid w:val="004D3D97"/>
    <w:rsid w:val="004D46FD"/>
    <w:rsid w:val="004D5202"/>
    <w:rsid w:val="004D62E2"/>
    <w:rsid w:val="004D6F4A"/>
    <w:rsid w:val="004D788B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5C4"/>
    <w:rsid w:val="004E4646"/>
    <w:rsid w:val="004E4B70"/>
    <w:rsid w:val="004E4BC1"/>
    <w:rsid w:val="004E52A5"/>
    <w:rsid w:val="004E59BA"/>
    <w:rsid w:val="004E5B61"/>
    <w:rsid w:val="004E5F65"/>
    <w:rsid w:val="004E5F6C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528C"/>
    <w:rsid w:val="004F5989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4DF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328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14B"/>
    <w:rsid w:val="00574B1A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440"/>
    <w:rsid w:val="005A1EA7"/>
    <w:rsid w:val="005A23B6"/>
    <w:rsid w:val="005A2DF6"/>
    <w:rsid w:val="005A367F"/>
    <w:rsid w:val="005A3C03"/>
    <w:rsid w:val="005A3EC1"/>
    <w:rsid w:val="005A431F"/>
    <w:rsid w:val="005A49AD"/>
    <w:rsid w:val="005A4FD6"/>
    <w:rsid w:val="005A5543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1D8A"/>
    <w:rsid w:val="005B23C5"/>
    <w:rsid w:val="005B2812"/>
    <w:rsid w:val="005B2D48"/>
    <w:rsid w:val="005B3F7D"/>
    <w:rsid w:val="005B50CA"/>
    <w:rsid w:val="005B6858"/>
    <w:rsid w:val="005B7168"/>
    <w:rsid w:val="005B719F"/>
    <w:rsid w:val="005B7DD4"/>
    <w:rsid w:val="005C0621"/>
    <w:rsid w:val="005C0DCB"/>
    <w:rsid w:val="005C166E"/>
    <w:rsid w:val="005C2D30"/>
    <w:rsid w:val="005C31C9"/>
    <w:rsid w:val="005C3FD4"/>
    <w:rsid w:val="005C409A"/>
    <w:rsid w:val="005C4BA8"/>
    <w:rsid w:val="005C571B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0FD5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3C41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5E77"/>
    <w:rsid w:val="005F69A1"/>
    <w:rsid w:val="005F720F"/>
    <w:rsid w:val="005F7B1A"/>
    <w:rsid w:val="005F7CBE"/>
    <w:rsid w:val="00600499"/>
    <w:rsid w:val="006006D2"/>
    <w:rsid w:val="00600A7F"/>
    <w:rsid w:val="00602B45"/>
    <w:rsid w:val="00602BA5"/>
    <w:rsid w:val="00602DF5"/>
    <w:rsid w:val="006030A4"/>
    <w:rsid w:val="00603181"/>
    <w:rsid w:val="006035E1"/>
    <w:rsid w:val="00603BE7"/>
    <w:rsid w:val="006049E4"/>
    <w:rsid w:val="0060542D"/>
    <w:rsid w:val="00605AAE"/>
    <w:rsid w:val="00605D63"/>
    <w:rsid w:val="00606B10"/>
    <w:rsid w:val="00606E31"/>
    <w:rsid w:val="00607220"/>
    <w:rsid w:val="00607AEE"/>
    <w:rsid w:val="00607D59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05C6"/>
    <w:rsid w:val="006309EA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4CA8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46A32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115D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0FEF"/>
    <w:rsid w:val="0067152D"/>
    <w:rsid w:val="00671D5C"/>
    <w:rsid w:val="006722E6"/>
    <w:rsid w:val="0067257C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1DA5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2BD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89F"/>
    <w:rsid w:val="00694B03"/>
    <w:rsid w:val="00695110"/>
    <w:rsid w:val="0069537B"/>
    <w:rsid w:val="00695480"/>
    <w:rsid w:val="006959A2"/>
    <w:rsid w:val="006969A3"/>
    <w:rsid w:val="006972DC"/>
    <w:rsid w:val="00697931"/>
    <w:rsid w:val="00697FB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B7E71"/>
    <w:rsid w:val="006C07FA"/>
    <w:rsid w:val="006C1218"/>
    <w:rsid w:val="006C1A4E"/>
    <w:rsid w:val="006C1EBF"/>
    <w:rsid w:val="006C21E7"/>
    <w:rsid w:val="006C2327"/>
    <w:rsid w:val="006C2973"/>
    <w:rsid w:val="006C2B9D"/>
    <w:rsid w:val="006C2CB8"/>
    <w:rsid w:val="006C37E5"/>
    <w:rsid w:val="006C4D2C"/>
    <w:rsid w:val="006C50C0"/>
    <w:rsid w:val="006C50C8"/>
    <w:rsid w:val="006C5E44"/>
    <w:rsid w:val="006C6300"/>
    <w:rsid w:val="006C64B1"/>
    <w:rsid w:val="006C65FE"/>
    <w:rsid w:val="006D0633"/>
    <w:rsid w:val="006D0EDD"/>
    <w:rsid w:val="006D0F07"/>
    <w:rsid w:val="006D1215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0C8"/>
    <w:rsid w:val="006D615B"/>
    <w:rsid w:val="006D63B6"/>
    <w:rsid w:val="006D668F"/>
    <w:rsid w:val="006D670E"/>
    <w:rsid w:val="006D6F22"/>
    <w:rsid w:val="006D7CA8"/>
    <w:rsid w:val="006E0128"/>
    <w:rsid w:val="006E04A7"/>
    <w:rsid w:val="006E0D2B"/>
    <w:rsid w:val="006E0DD5"/>
    <w:rsid w:val="006E3D45"/>
    <w:rsid w:val="006E440D"/>
    <w:rsid w:val="006E4CB2"/>
    <w:rsid w:val="006E4CDB"/>
    <w:rsid w:val="006E5496"/>
    <w:rsid w:val="006E5655"/>
    <w:rsid w:val="006E5C77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1900"/>
    <w:rsid w:val="00701984"/>
    <w:rsid w:val="0070267C"/>
    <w:rsid w:val="00702D3C"/>
    <w:rsid w:val="00702DE1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AD8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3055C"/>
    <w:rsid w:val="00731114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3F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1191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356"/>
    <w:rsid w:val="00757CF3"/>
    <w:rsid w:val="00760FFD"/>
    <w:rsid w:val="00761129"/>
    <w:rsid w:val="00761175"/>
    <w:rsid w:val="00761330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52BA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1A59"/>
    <w:rsid w:val="007B3856"/>
    <w:rsid w:val="007B45AD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42D1"/>
    <w:rsid w:val="007C667D"/>
    <w:rsid w:val="007C676B"/>
    <w:rsid w:val="007C6F5B"/>
    <w:rsid w:val="007D0699"/>
    <w:rsid w:val="007D0B66"/>
    <w:rsid w:val="007D0D4A"/>
    <w:rsid w:val="007D0E12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FB5"/>
    <w:rsid w:val="007E319A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0F4C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6E2B"/>
    <w:rsid w:val="007F7237"/>
    <w:rsid w:val="007F74A3"/>
    <w:rsid w:val="007F7AA5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31BB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1767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4B9"/>
    <w:rsid w:val="00863714"/>
    <w:rsid w:val="00863F59"/>
    <w:rsid w:val="008654CF"/>
    <w:rsid w:val="008656C2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D58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42D5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593D"/>
    <w:rsid w:val="008A5B3D"/>
    <w:rsid w:val="008A61EF"/>
    <w:rsid w:val="008A648B"/>
    <w:rsid w:val="008A66BA"/>
    <w:rsid w:val="008A71A9"/>
    <w:rsid w:val="008B02F2"/>
    <w:rsid w:val="008B32EE"/>
    <w:rsid w:val="008B55CB"/>
    <w:rsid w:val="008B5739"/>
    <w:rsid w:val="008C0856"/>
    <w:rsid w:val="008C1123"/>
    <w:rsid w:val="008C1379"/>
    <w:rsid w:val="008C1988"/>
    <w:rsid w:val="008C1F11"/>
    <w:rsid w:val="008C2385"/>
    <w:rsid w:val="008C3C62"/>
    <w:rsid w:val="008C3D7E"/>
    <w:rsid w:val="008C4188"/>
    <w:rsid w:val="008C4644"/>
    <w:rsid w:val="008C5493"/>
    <w:rsid w:val="008C56F6"/>
    <w:rsid w:val="008C5B2B"/>
    <w:rsid w:val="008C6D83"/>
    <w:rsid w:val="008C721F"/>
    <w:rsid w:val="008C7774"/>
    <w:rsid w:val="008D120F"/>
    <w:rsid w:val="008D14A6"/>
    <w:rsid w:val="008D1C04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59"/>
    <w:rsid w:val="008E1D38"/>
    <w:rsid w:val="008E1E6B"/>
    <w:rsid w:val="008E33A0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D72"/>
    <w:rsid w:val="008F7F42"/>
    <w:rsid w:val="008F7F95"/>
    <w:rsid w:val="0090140A"/>
    <w:rsid w:val="009019AB"/>
    <w:rsid w:val="0090228E"/>
    <w:rsid w:val="00902426"/>
    <w:rsid w:val="009025F6"/>
    <w:rsid w:val="00902814"/>
    <w:rsid w:val="00902BC9"/>
    <w:rsid w:val="00902EE1"/>
    <w:rsid w:val="009033B0"/>
    <w:rsid w:val="00903555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241"/>
    <w:rsid w:val="00911536"/>
    <w:rsid w:val="00911EE4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7AE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2F45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30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028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E5"/>
    <w:rsid w:val="00986CF5"/>
    <w:rsid w:val="0099015E"/>
    <w:rsid w:val="009901E6"/>
    <w:rsid w:val="0099040C"/>
    <w:rsid w:val="009912CF"/>
    <w:rsid w:val="0099153B"/>
    <w:rsid w:val="0099198E"/>
    <w:rsid w:val="00991AA7"/>
    <w:rsid w:val="009920A0"/>
    <w:rsid w:val="0099262D"/>
    <w:rsid w:val="00992C5A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2F4D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22DC"/>
    <w:rsid w:val="009B277F"/>
    <w:rsid w:val="009B27B0"/>
    <w:rsid w:val="009B27E4"/>
    <w:rsid w:val="009B36D4"/>
    <w:rsid w:val="009B376F"/>
    <w:rsid w:val="009B3780"/>
    <w:rsid w:val="009B5FF8"/>
    <w:rsid w:val="009B761C"/>
    <w:rsid w:val="009B7DBB"/>
    <w:rsid w:val="009C01EB"/>
    <w:rsid w:val="009C12ED"/>
    <w:rsid w:val="009C27C9"/>
    <w:rsid w:val="009C2C84"/>
    <w:rsid w:val="009C37F7"/>
    <w:rsid w:val="009C4079"/>
    <w:rsid w:val="009C48C7"/>
    <w:rsid w:val="009C4ED2"/>
    <w:rsid w:val="009C5529"/>
    <w:rsid w:val="009C5566"/>
    <w:rsid w:val="009C5C1A"/>
    <w:rsid w:val="009C6F35"/>
    <w:rsid w:val="009C7061"/>
    <w:rsid w:val="009C717A"/>
    <w:rsid w:val="009D006D"/>
    <w:rsid w:val="009D1183"/>
    <w:rsid w:val="009D16B1"/>
    <w:rsid w:val="009D1FED"/>
    <w:rsid w:val="009D2353"/>
    <w:rsid w:val="009D2E5C"/>
    <w:rsid w:val="009D3D4F"/>
    <w:rsid w:val="009D615E"/>
    <w:rsid w:val="009D65AF"/>
    <w:rsid w:val="009D6AAF"/>
    <w:rsid w:val="009D6F58"/>
    <w:rsid w:val="009D70CC"/>
    <w:rsid w:val="009D78C3"/>
    <w:rsid w:val="009E0031"/>
    <w:rsid w:val="009E0FE3"/>
    <w:rsid w:val="009E177E"/>
    <w:rsid w:val="009E29EC"/>
    <w:rsid w:val="009E2B50"/>
    <w:rsid w:val="009E2CE6"/>
    <w:rsid w:val="009E3607"/>
    <w:rsid w:val="009E3822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5AED"/>
    <w:rsid w:val="009F6251"/>
    <w:rsid w:val="009F686B"/>
    <w:rsid w:val="009F6BA5"/>
    <w:rsid w:val="009F7786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2CA4"/>
    <w:rsid w:val="00A03C4D"/>
    <w:rsid w:val="00A03DD8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8E4"/>
    <w:rsid w:val="00A1593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669B"/>
    <w:rsid w:val="00A374AE"/>
    <w:rsid w:val="00A400FB"/>
    <w:rsid w:val="00A408AD"/>
    <w:rsid w:val="00A421BC"/>
    <w:rsid w:val="00A421E6"/>
    <w:rsid w:val="00A42878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9F5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454"/>
    <w:rsid w:val="00A62906"/>
    <w:rsid w:val="00A62CCB"/>
    <w:rsid w:val="00A63F6E"/>
    <w:rsid w:val="00A63FAD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2C4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86AAB"/>
    <w:rsid w:val="00A900A2"/>
    <w:rsid w:val="00A901B6"/>
    <w:rsid w:val="00A90837"/>
    <w:rsid w:val="00A9085C"/>
    <w:rsid w:val="00A90E61"/>
    <w:rsid w:val="00A91017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6B5B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3CB9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D7794"/>
    <w:rsid w:val="00AE0A86"/>
    <w:rsid w:val="00AE0BEF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893"/>
    <w:rsid w:val="00AF4A87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00E"/>
    <w:rsid w:val="00B06672"/>
    <w:rsid w:val="00B0732F"/>
    <w:rsid w:val="00B077E2"/>
    <w:rsid w:val="00B104F5"/>
    <w:rsid w:val="00B1163A"/>
    <w:rsid w:val="00B12A8C"/>
    <w:rsid w:val="00B16055"/>
    <w:rsid w:val="00B16414"/>
    <w:rsid w:val="00B16D3B"/>
    <w:rsid w:val="00B16F8A"/>
    <w:rsid w:val="00B16FF2"/>
    <w:rsid w:val="00B172A3"/>
    <w:rsid w:val="00B2013A"/>
    <w:rsid w:val="00B2020D"/>
    <w:rsid w:val="00B207D8"/>
    <w:rsid w:val="00B20B15"/>
    <w:rsid w:val="00B20C7E"/>
    <w:rsid w:val="00B2126A"/>
    <w:rsid w:val="00B218DC"/>
    <w:rsid w:val="00B21FD2"/>
    <w:rsid w:val="00B231D6"/>
    <w:rsid w:val="00B24110"/>
    <w:rsid w:val="00B24E3E"/>
    <w:rsid w:val="00B252C0"/>
    <w:rsid w:val="00B25A67"/>
    <w:rsid w:val="00B27645"/>
    <w:rsid w:val="00B2769D"/>
    <w:rsid w:val="00B301D9"/>
    <w:rsid w:val="00B30A89"/>
    <w:rsid w:val="00B30DFD"/>
    <w:rsid w:val="00B31837"/>
    <w:rsid w:val="00B31A70"/>
    <w:rsid w:val="00B32048"/>
    <w:rsid w:val="00B3248C"/>
    <w:rsid w:val="00B32931"/>
    <w:rsid w:val="00B3356E"/>
    <w:rsid w:val="00B33C58"/>
    <w:rsid w:val="00B33DCE"/>
    <w:rsid w:val="00B33E0A"/>
    <w:rsid w:val="00B34B0B"/>
    <w:rsid w:val="00B368B6"/>
    <w:rsid w:val="00B37CF0"/>
    <w:rsid w:val="00B37EA8"/>
    <w:rsid w:val="00B40322"/>
    <w:rsid w:val="00B40A6D"/>
    <w:rsid w:val="00B4105F"/>
    <w:rsid w:val="00B4182A"/>
    <w:rsid w:val="00B41DA9"/>
    <w:rsid w:val="00B4214B"/>
    <w:rsid w:val="00B444BC"/>
    <w:rsid w:val="00B44711"/>
    <w:rsid w:val="00B4587A"/>
    <w:rsid w:val="00B47370"/>
    <w:rsid w:val="00B50FB1"/>
    <w:rsid w:val="00B5136F"/>
    <w:rsid w:val="00B51DDB"/>
    <w:rsid w:val="00B52252"/>
    <w:rsid w:val="00B5255B"/>
    <w:rsid w:val="00B52860"/>
    <w:rsid w:val="00B52C70"/>
    <w:rsid w:val="00B52D9C"/>
    <w:rsid w:val="00B52DA3"/>
    <w:rsid w:val="00B54B2C"/>
    <w:rsid w:val="00B55108"/>
    <w:rsid w:val="00B55646"/>
    <w:rsid w:val="00B57014"/>
    <w:rsid w:val="00B57366"/>
    <w:rsid w:val="00B574A8"/>
    <w:rsid w:val="00B57AF1"/>
    <w:rsid w:val="00B60435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3E4E"/>
    <w:rsid w:val="00B7488F"/>
    <w:rsid w:val="00B748F1"/>
    <w:rsid w:val="00B75DE1"/>
    <w:rsid w:val="00B75ECA"/>
    <w:rsid w:val="00B7675F"/>
    <w:rsid w:val="00B76AAC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3E5E"/>
    <w:rsid w:val="00B84559"/>
    <w:rsid w:val="00B84934"/>
    <w:rsid w:val="00B84DD3"/>
    <w:rsid w:val="00B850E9"/>
    <w:rsid w:val="00B8677E"/>
    <w:rsid w:val="00B869D6"/>
    <w:rsid w:val="00B86AE5"/>
    <w:rsid w:val="00B86E82"/>
    <w:rsid w:val="00B8715E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A3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2F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42C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64A"/>
    <w:rsid w:val="00BC7B16"/>
    <w:rsid w:val="00BD0404"/>
    <w:rsid w:val="00BD07D5"/>
    <w:rsid w:val="00BD1785"/>
    <w:rsid w:val="00BD1B97"/>
    <w:rsid w:val="00BD29DF"/>
    <w:rsid w:val="00BD3BA1"/>
    <w:rsid w:val="00BD43AE"/>
    <w:rsid w:val="00BD48F4"/>
    <w:rsid w:val="00BD574C"/>
    <w:rsid w:val="00BD5D41"/>
    <w:rsid w:val="00BD66AD"/>
    <w:rsid w:val="00BD72F4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27"/>
    <w:rsid w:val="00BF0D8C"/>
    <w:rsid w:val="00BF1031"/>
    <w:rsid w:val="00BF25E6"/>
    <w:rsid w:val="00BF30DA"/>
    <w:rsid w:val="00BF3244"/>
    <w:rsid w:val="00BF3796"/>
    <w:rsid w:val="00BF3844"/>
    <w:rsid w:val="00BF3D21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371"/>
    <w:rsid w:val="00BF78A3"/>
    <w:rsid w:val="00C003F2"/>
    <w:rsid w:val="00C00D1E"/>
    <w:rsid w:val="00C0113B"/>
    <w:rsid w:val="00C028B3"/>
    <w:rsid w:val="00C02EAF"/>
    <w:rsid w:val="00C02EE3"/>
    <w:rsid w:val="00C04100"/>
    <w:rsid w:val="00C04272"/>
    <w:rsid w:val="00C045C9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8DB"/>
    <w:rsid w:val="00C26979"/>
    <w:rsid w:val="00C269F1"/>
    <w:rsid w:val="00C26C79"/>
    <w:rsid w:val="00C27024"/>
    <w:rsid w:val="00C27A29"/>
    <w:rsid w:val="00C30633"/>
    <w:rsid w:val="00C31A8E"/>
    <w:rsid w:val="00C3207C"/>
    <w:rsid w:val="00C3263C"/>
    <w:rsid w:val="00C32BBA"/>
    <w:rsid w:val="00C32EBB"/>
    <w:rsid w:val="00C330A0"/>
    <w:rsid w:val="00C33253"/>
    <w:rsid w:val="00C33511"/>
    <w:rsid w:val="00C34885"/>
    <w:rsid w:val="00C34D88"/>
    <w:rsid w:val="00C35423"/>
    <w:rsid w:val="00C356CF"/>
    <w:rsid w:val="00C358BB"/>
    <w:rsid w:val="00C359EF"/>
    <w:rsid w:val="00C35F4C"/>
    <w:rsid w:val="00C3624F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7C6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BC4"/>
    <w:rsid w:val="00C56E07"/>
    <w:rsid w:val="00C56FBF"/>
    <w:rsid w:val="00C575B1"/>
    <w:rsid w:val="00C57F61"/>
    <w:rsid w:val="00C60BCF"/>
    <w:rsid w:val="00C610A5"/>
    <w:rsid w:val="00C610E6"/>
    <w:rsid w:val="00C613B2"/>
    <w:rsid w:val="00C62CE6"/>
    <w:rsid w:val="00C6310E"/>
    <w:rsid w:val="00C633FA"/>
    <w:rsid w:val="00C63772"/>
    <w:rsid w:val="00C63E62"/>
    <w:rsid w:val="00C642AC"/>
    <w:rsid w:val="00C64622"/>
    <w:rsid w:val="00C64717"/>
    <w:rsid w:val="00C65042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175"/>
    <w:rsid w:val="00C75ACA"/>
    <w:rsid w:val="00C75CDD"/>
    <w:rsid w:val="00C75FA2"/>
    <w:rsid w:val="00C76CF3"/>
    <w:rsid w:val="00C77527"/>
    <w:rsid w:val="00C77DDB"/>
    <w:rsid w:val="00C80C52"/>
    <w:rsid w:val="00C80E67"/>
    <w:rsid w:val="00C81045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11D"/>
    <w:rsid w:val="00C92A21"/>
    <w:rsid w:val="00C92E07"/>
    <w:rsid w:val="00C935BF"/>
    <w:rsid w:val="00C93F01"/>
    <w:rsid w:val="00C944F5"/>
    <w:rsid w:val="00C948DA"/>
    <w:rsid w:val="00C94B9B"/>
    <w:rsid w:val="00C956EA"/>
    <w:rsid w:val="00C95782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16E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51A8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50F3"/>
    <w:rsid w:val="00CD55BB"/>
    <w:rsid w:val="00CD5EAD"/>
    <w:rsid w:val="00CD6279"/>
    <w:rsid w:val="00CD68F5"/>
    <w:rsid w:val="00CD7463"/>
    <w:rsid w:val="00CD7566"/>
    <w:rsid w:val="00CE0966"/>
    <w:rsid w:val="00CE12B8"/>
    <w:rsid w:val="00CE175D"/>
    <w:rsid w:val="00CE1B29"/>
    <w:rsid w:val="00CE1E76"/>
    <w:rsid w:val="00CE36D1"/>
    <w:rsid w:val="00CE3AE1"/>
    <w:rsid w:val="00CE3D40"/>
    <w:rsid w:val="00CE3FB4"/>
    <w:rsid w:val="00CE4C12"/>
    <w:rsid w:val="00CE522E"/>
    <w:rsid w:val="00CE592F"/>
    <w:rsid w:val="00CE5CA9"/>
    <w:rsid w:val="00CE7718"/>
    <w:rsid w:val="00CE772B"/>
    <w:rsid w:val="00CE7948"/>
    <w:rsid w:val="00CE79FD"/>
    <w:rsid w:val="00CE7A0F"/>
    <w:rsid w:val="00CF033B"/>
    <w:rsid w:val="00CF103F"/>
    <w:rsid w:val="00CF212A"/>
    <w:rsid w:val="00CF35E0"/>
    <w:rsid w:val="00CF3F0C"/>
    <w:rsid w:val="00CF4E3C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1F5"/>
    <w:rsid w:val="00D0546D"/>
    <w:rsid w:val="00D057D3"/>
    <w:rsid w:val="00D05D44"/>
    <w:rsid w:val="00D05DE4"/>
    <w:rsid w:val="00D06294"/>
    <w:rsid w:val="00D069EA"/>
    <w:rsid w:val="00D06A8D"/>
    <w:rsid w:val="00D06B47"/>
    <w:rsid w:val="00D077C7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537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29FE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AA1"/>
    <w:rsid w:val="00D40FDC"/>
    <w:rsid w:val="00D41A83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3CA7"/>
    <w:rsid w:val="00D544D9"/>
    <w:rsid w:val="00D54839"/>
    <w:rsid w:val="00D54A48"/>
    <w:rsid w:val="00D5510A"/>
    <w:rsid w:val="00D5554D"/>
    <w:rsid w:val="00D557CC"/>
    <w:rsid w:val="00D5581F"/>
    <w:rsid w:val="00D56DC5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57A0"/>
    <w:rsid w:val="00D6603B"/>
    <w:rsid w:val="00D66077"/>
    <w:rsid w:val="00D67005"/>
    <w:rsid w:val="00D671E6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088"/>
    <w:rsid w:val="00D74268"/>
    <w:rsid w:val="00D74CBC"/>
    <w:rsid w:val="00D750A3"/>
    <w:rsid w:val="00D75AAF"/>
    <w:rsid w:val="00D760C6"/>
    <w:rsid w:val="00D76DE2"/>
    <w:rsid w:val="00D76F1D"/>
    <w:rsid w:val="00D7745C"/>
    <w:rsid w:val="00D7796F"/>
    <w:rsid w:val="00D77A24"/>
    <w:rsid w:val="00D77CC5"/>
    <w:rsid w:val="00D803D7"/>
    <w:rsid w:val="00D80A0D"/>
    <w:rsid w:val="00D80B34"/>
    <w:rsid w:val="00D80CC2"/>
    <w:rsid w:val="00D80FC4"/>
    <w:rsid w:val="00D8190A"/>
    <w:rsid w:val="00D81C92"/>
    <w:rsid w:val="00D82448"/>
    <w:rsid w:val="00D825B9"/>
    <w:rsid w:val="00D82A60"/>
    <w:rsid w:val="00D82FA4"/>
    <w:rsid w:val="00D83FD6"/>
    <w:rsid w:val="00D85507"/>
    <w:rsid w:val="00D85F9F"/>
    <w:rsid w:val="00D85FD3"/>
    <w:rsid w:val="00D86637"/>
    <w:rsid w:val="00D871E0"/>
    <w:rsid w:val="00D872D2"/>
    <w:rsid w:val="00D87984"/>
    <w:rsid w:val="00D9023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2EA"/>
    <w:rsid w:val="00DA63B3"/>
    <w:rsid w:val="00DA68F9"/>
    <w:rsid w:val="00DA6B47"/>
    <w:rsid w:val="00DA6DDA"/>
    <w:rsid w:val="00DA7260"/>
    <w:rsid w:val="00DA7390"/>
    <w:rsid w:val="00DB054C"/>
    <w:rsid w:val="00DB0645"/>
    <w:rsid w:val="00DB0AD9"/>
    <w:rsid w:val="00DB130D"/>
    <w:rsid w:val="00DB1B79"/>
    <w:rsid w:val="00DB316F"/>
    <w:rsid w:val="00DB37F0"/>
    <w:rsid w:val="00DB5A07"/>
    <w:rsid w:val="00DB6390"/>
    <w:rsid w:val="00DB64B1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0C89"/>
    <w:rsid w:val="00DD154C"/>
    <w:rsid w:val="00DD23AC"/>
    <w:rsid w:val="00DD2924"/>
    <w:rsid w:val="00DD3C8D"/>
    <w:rsid w:val="00DD40AC"/>
    <w:rsid w:val="00DD4313"/>
    <w:rsid w:val="00DD4516"/>
    <w:rsid w:val="00DD4F99"/>
    <w:rsid w:val="00DD5774"/>
    <w:rsid w:val="00DD5FE8"/>
    <w:rsid w:val="00DD6D7B"/>
    <w:rsid w:val="00DD71E5"/>
    <w:rsid w:val="00DD7A26"/>
    <w:rsid w:val="00DD7A38"/>
    <w:rsid w:val="00DD7F99"/>
    <w:rsid w:val="00DE0601"/>
    <w:rsid w:val="00DE0A87"/>
    <w:rsid w:val="00DE0EC0"/>
    <w:rsid w:val="00DE10D4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0EAA"/>
    <w:rsid w:val="00DF1586"/>
    <w:rsid w:val="00DF2113"/>
    <w:rsid w:val="00DF30FF"/>
    <w:rsid w:val="00DF36DC"/>
    <w:rsid w:val="00DF3B54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145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CFC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6F0F"/>
    <w:rsid w:val="00E17378"/>
    <w:rsid w:val="00E2055C"/>
    <w:rsid w:val="00E211B2"/>
    <w:rsid w:val="00E211EF"/>
    <w:rsid w:val="00E21A86"/>
    <w:rsid w:val="00E2276A"/>
    <w:rsid w:val="00E22FEF"/>
    <w:rsid w:val="00E24146"/>
    <w:rsid w:val="00E2436D"/>
    <w:rsid w:val="00E244C6"/>
    <w:rsid w:val="00E246CA"/>
    <w:rsid w:val="00E2497C"/>
    <w:rsid w:val="00E2522D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29"/>
    <w:rsid w:val="00E43E40"/>
    <w:rsid w:val="00E44600"/>
    <w:rsid w:val="00E451BA"/>
    <w:rsid w:val="00E45413"/>
    <w:rsid w:val="00E45D20"/>
    <w:rsid w:val="00E46788"/>
    <w:rsid w:val="00E47059"/>
    <w:rsid w:val="00E472C4"/>
    <w:rsid w:val="00E472E8"/>
    <w:rsid w:val="00E4735C"/>
    <w:rsid w:val="00E47D6A"/>
    <w:rsid w:val="00E503A2"/>
    <w:rsid w:val="00E50691"/>
    <w:rsid w:val="00E517C5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49B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75D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8F5"/>
    <w:rsid w:val="00E90DD7"/>
    <w:rsid w:val="00E91BA8"/>
    <w:rsid w:val="00E92D5C"/>
    <w:rsid w:val="00E92FDF"/>
    <w:rsid w:val="00E93580"/>
    <w:rsid w:val="00E93681"/>
    <w:rsid w:val="00E93761"/>
    <w:rsid w:val="00E946B0"/>
    <w:rsid w:val="00E94C9D"/>
    <w:rsid w:val="00E96435"/>
    <w:rsid w:val="00E971EE"/>
    <w:rsid w:val="00E97216"/>
    <w:rsid w:val="00E97925"/>
    <w:rsid w:val="00E97DBD"/>
    <w:rsid w:val="00EA088C"/>
    <w:rsid w:val="00EA18BC"/>
    <w:rsid w:val="00EA1D15"/>
    <w:rsid w:val="00EA375C"/>
    <w:rsid w:val="00EA385F"/>
    <w:rsid w:val="00EA4B57"/>
    <w:rsid w:val="00EA4D15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B66C7"/>
    <w:rsid w:val="00EB76E9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3020"/>
    <w:rsid w:val="00EF32BD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0E08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704"/>
    <w:rsid w:val="00F11C24"/>
    <w:rsid w:val="00F12221"/>
    <w:rsid w:val="00F13BB3"/>
    <w:rsid w:val="00F13DD3"/>
    <w:rsid w:val="00F142A4"/>
    <w:rsid w:val="00F14367"/>
    <w:rsid w:val="00F144BC"/>
    <w:rsid w:val="00F15079"/>
    <w:rsid w:val="00F154BB"/>
    <w:rsid w:val="00F16225"/>
    <w:rsid w:val="00F16B11"/>
    <w:rsid w:val="00F16D62"/>
    <w:rsid w:val="00F2046D"/>
    <w:rsid w:val="00F207C6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4C5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5BAD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4C85"/>
    <w:rsid w:val="00F46206"/>
    <w:rsid w:val="00F46821"/>
    <w:rsid w:val="00F46C8D"/>
    <w:rsid w:val="00F47B55"/>
    <w:rsid w:val="00F47EA5"/>
    <w:rsid w:val="00F50FE6"/>
    <w:rsid w:val="00F5101B"/>
    <w:rsid w:val="00F51A3D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5B8B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0C4A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92F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200F"/>
    <w:rsid w:val="00FA2CF2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B37"/>
    <w:rsid w:val="00FB7BB2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E1FEA"/>
    <w:rsid w:val="00FE2206"/>
    <w:rsid w:val="00FE22F5"/>
    <w:rsid w:val="00FE28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1A0B"/>
    <w:rsid w:val="00FF2011"/>
    <w:rsid w:val="00FF354C"/>
    <w:rsid w:val="00FF44F2"/>
    <w:rsid w:val="00FF5AE0"/>
    <w:rsid w:val="00FF5E03"/>
    <w:rsid w:val="00FF6163"/>
    <w:rsid w:val="00FF6470"/>
    <w:rsid w:val="00FF67D8"/>
    <w:rsid w:val="00FF6944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3</Pages>
  <Words>1572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315</cp:revision>
  <cp:lastPrinted>2019-02-06T01:41:00Z</cp:lastPrinted>
  <dcterms:created xsi:type="dcterms:W3CDTF">2021-07-20T02:47:00Z</dcterms:created>
  <dcterms:modified xsi:type="dcterms:W3CDTF">2022-04-26T03:14:00Z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